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4B52" w14:textId="77777777" w:rsidR="007876AE" w:rsidRDefault="007876AE">
      <w:pPr>
        <w:pStyle w:val="TableofContentsTitle"/>
      </w:pPr>
      <w:r>
        <w:t>TABLE OF CONTENTS</w:t>
      </w:r>
    </w:p>
    <w:p w14:paraId="29384B53" w14:textId="77777777" w:rsidR="0068033B" w:rsidRDefault="006B27DD">
      <w:pPr>
        <w:pStyle w:val="TOC1"/>
        <w:tabs>
          <w:tab w:val="left" w:pos="810"/>
          <w:tab w:val="right" w:leader="dot" w:pos="9350"/>
        </w:tabs>
        <w:rPr>
          <w:rFonts w:asciiTheme="minorHAnsi" w:eastAsiaTheme="minorEastAsia" w:hAnsiTheme="minorHAnsi" w:cstheme="minorBidi"/>
          <w:caps w:val="0"/>
          <w:noProof/>
          <w:sz w:val="22"/>
          <w:szCs w:val="22"/>
        </w:rPr>
      </w:pPr>
      <w:r>
        <w:fldChar w:fldCharType="begin"/>
      </w:r>
      <w:r w:rsidR="007876AE">
        <w:instrText xml:space="preserve"> TOC \o "2-2" \h \z \t "Heading 1,1,Appendix Heading,1,ANNEX-heading1,2" </w:instrText>
      </w:r>
      <w:r>
        <w:fldChar w:fldCharType="separate"/>
      </w:r>
      <w:hyperlink w:anchor="_Toc335034655" w:history="1">
        <w:r w:rsidR="0068033B" w:rsidRPr="00B20563">
          <w:rPr>
            <w:rStyle w:val="Hyperlink"/>
            <w:noProof/>
          </w:rPr>
          <w:t>1.0</w:t>
        </w:r>
        <w:r w:rsidR="0068033B">
          <w:rPr>
            <w:rFonts w:asciiTheme="minorHAnsi" w:eastAsiaTheme="minorEastAsia" w:hAnsiTheme="minorHAnsi" w:cstheme="minorBidi"/>
            <w:caps w:val="0"/>
            <w:noProof/>
            <w:sz w:val="22"/>
            <w:szCs w:val="22"/>
          </w:rPr>
          <w:tab/>
        </w:r>
        <w:r w:rsidR="0068033B" w:rsidRPr="00B20563">
          <w:rPr>
            <w:rStyle w:val="Hyperlink"/>
            <w:noProof/>
          </w:rPr>
          <w:t>PURPOSE</w:t>
        </w:r>
        <w:r w:rsidR="0068033B">
          <w:rPr>
            <w:noProof/>
            <w:webHidden/>
          </w:rPr>
          <w:tab/>
        </w:r>
        <w:r>
          <w:rPr>
            <w:noProof/>
            <w:webHidden/>
          </w:rPr>
          <w:fldChar w:fldCharType="begin"/>
        </w:r>
        <w:r w:rsidR="0068033B">
          <w:rPr>
            <w:noProof/>
            <w:webHidden/>
          </w:rPr>
          <w:instrText xml:space="preserve"> PAGEREF _Toc335034655 \h </w:instrText>
        </w:r>
        <w:r>
          <w:rPr>
            <w:noProof/>
            <w:webHidden/>
          </w:rPr>
        </w:r>
        <w:r>
          <w:rPr>
            <w:noProof/>
            <w:webHidden/>
          </w:rPr>
          <w:fldChar w:fldCharType="separate"/>
        </w:r>
        <w:r w:rsidR="0068033B">
          <w:rPr>
            <w:noProof/>
            <w:webHidden/>
          </w:rPr>
          <w:t>1</w:t>
        </w:r>
        <w:r>
          <w:rPr>
            <w:noProof/>
            <w:webHidden/>
          </w:rPr>
          <w:fldChar w:fldCharType="end"/>
        </w:r>
      </w:hyperlink>
    </w:p>
    <w:p w14:paraId="29384B54"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56" w:history="1">
        <w:r w:rsidR="0068033B" w:rsidRPr="00B20563">
          <w:rPr>
            <w:rStyle w:val="Hyperlink"/>
            <w:noProof/>
          </w:rPr>
          <w:t>2.0</w:t>
        </w:r>
        <w:r w:rsidR="0068033B">
          <w:rPr>
            <w:rFonts w:asciiTheme="minorHAnsi" w:eastAsiaTheme="minorEastAsia" w:hAnsiTheme="minorHAnsi" w:cstheme="minorBidi"/>
            <w:caps w:val="0"/>
            <w:noProof/>
            <w:sz w:val="22"/>
            <w:szCs w:val="22"/>
          </w:rPr>
          <w:tab/>
        </w:r>
        <w:r w:rsidR="0068033B" w:rsidRPr="00B20563">
          <w:rPr>
            <w:rStyle w:val="Hyperlink"/>
            <w:noProof/>
          </w:rPr>
          <w:t>SCOPE</w:t>
        </w:r>
        <w:r w:rsidR="0068033B">
          <w:rPr>
            <w:noProof/>
            <w:webHidden/>
          </w:rPr>
          <w:tab/>
        </w:r>
        <w:r w:rsidR="006B27DD">
          <w:rPr>
            <w:noProof/>
            <w:webHidden/>
          </w:rPr>
          <w:fldChar w:fldCharType="begin"/>
        </w:r>
        <w:r w:rsidR="0068033B">
          <w:rPr>
            <w:noProof/>
            <w:webHidden/>
          </w:rPr>
          <w:instrText xml:space="preserve"> PAGEREF _Toc335034656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5"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57" w:history="1">
        <w:r w:rsidR="0068033B" w:rsidRPr="00B20563">
          <w:rPr>
            <w:rStyle w:val="Hyperlink"/>
            <w:noProof/>
          </w:rPr>
          <w:t>3.0</w:t>
        </w:r>
        <w:r w:rsidR="0068033B">
          <w:rPr>
            <w:rFonts w:asciiTheme="minorHAnsi" w:eastAsiaTheme="minorEastAsia" w:hAnsiTheme="minorHAnsi" w:cstheme="minorBidi"/>
            <w:caps w:val="0"/>
            <w:noProof/>
            <w:sz w:val="22"/>
            <w:szCs w:val="22"/>
          </w:rPr>
          <w:tab/>
        </w:r>
        <w:r w:rsidR="0068033B" w:rsidRPr="00B20563">
          <w:rPr>
            <w:rStyle w:val="Hyperlink"/>
            <w:noProof/>
          </w:rPr>
          <w:t>reference documents</w:t>
        </w:r>
        <w:r w:rsidR="0068033B">
          <w:rPr>
            <w:noProof/>
            <w:webHidden/>
          </w:rPr>
          <w:tab/>
        </w:r>
        <w:r w:rsidR="006B27DD">
          <w:rPr>
            <w:noProof/>
            <w:webHidden/>
          </w:rPr>
          <w:fldChar w:fldCharType="begin"/>
        </w:r>
        <w:r w:rsidR="0068033B">
          <w:rPr>
            <w:noProof/>
            <w:webHidden/>
          </w:rPr>
          <w:instrText xml:space="preserve"> PAGEREF _Toc335034657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6" w14:textId="77777777" w:rsidR="0068033B" w:rsidRDefault="00733717">
      <w:pPr>
        <w:pStyle w:val="TOC2"/>
        <w:rPr>
          <w:rFonts w:asciiTheme="minorHAnsi" w:eastAsiaTheme="minorEastAsia" w:hAnsiTheme="minorHAnsi" w:cstheme="minorBidi"/>
          <w:noProof/>
          <w:sz w:val="22"/>
          <w:szCs w:val="22"/>
        </w:rPr>
      </w:pPr>
      <w:hyperlink w:anchor="_Toc335034658" w:history="1">
        <w:r w:rsidR="0068033B" w:rsidRPr="00B20563">
          <w:rPr>
            <w:rStyle w:val="Hyperlink"/>
            <w:noProof/>
          </w:rPr>
          <w:t>3.1</w:t>
        </w:r>
        <w:r w:rsidR="0068033B">
          <w:rPr>
            <w:rFonts w:asciiTheme="minorHAnsi" w:eastAsiaTheme="minorEastAsia" w:hAnsiTheme="minorHAnsi" w:cstheme="minorBidi"/>
            <w:noProof/>
            <w:sz w:val="22"/>
            <w:szCs w:val="22"/>
          </w:rPr>
          <w:tab/>
        </w:r>
        <w:r w:rsidR="0068033B" w:rsidRPr="00B20563">
          <w:rPr>
            <w:rStyle w:val="Hyperlink"/>
            <w:noProof/>
          </w:rPr>
          <w:t>TI Standard Policy and Procedure (SP&amp;P) 04-04-01: "Environmental, Health and Safety"</w:t>
        </w:r>
        <w:r w:rsidR="0068033B">
          <w:rPr>
            <w:noProof/>
            <w:webHidden/>
          </w:rPr>
          <w:tab/>
        </w:r>
        <w:r w:rsidR="006B27DD">
          <w:rPr>
            <w:noProof/>
            <w:webHidden/>
          </w:rPr>
          <w:fldChar w:fldCharType="begin"/>
        </w:r>
        <w:r w:rsidR="0068033B">
          <w:rPr>
            <w:noProof/>
            <w:webHidden/>
          </w:rPr>
          <w:instrText xml:space="preserve"> PAGEREF _Toc335034658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7" w14:textId="77777777" w:rsidR="0068033B" w:rsidRDefault="00733717">
      <w:pPr>
        <w:pStyle w:val="TOC2"/>
        <w:rPr>
          <w:rFonts w:asciiTheme="minorHAnsi" w:eastAsiaTheme="minorEastAsia" w:hAnsiTheme="minorHAnsi" w:cstheme="minorBidi"/>
          <w:noProof/>
          <w:sz w:val="22"/>
          <w:szCs w:val="22"/>
        </w:rPr>
      </w:pPr>
      <w:hyperlink w:anchor="_Toc335034659" w:history="1">
        <w:r w:rsidR="0068033B" w:rsidRPr="00B20563">
          <w:rPr>
            <w:rStyle w:val="Hyperlink"/>
            <w:noProof/>
          </w:rPr>
          <w:t>3.2</w:t>
        </w:r>
        <w:r w:rsidR="0068033B">
          <w:rPr>
            <w:rFonts w:asciiTheme="minorHAnsi" w:eastAsiaTheme="minorEastAsia" w:hAnsiTheme="minorHAnsi" w:cstheme="minorBidi"/>
            <w:noProof/>
            <w:sz w:val="22"/>
            <w:szCs w:val="22"/>
          </w:rPr>
          <w:tab/>
        </w:r>
        <w:r w:rsidR="0068033B" w:rsidRPr="00B20563">
          <w:rPr>
            <w:rStyle w:val="Hyperlink"/>
            <w:noProof/>
          </w:rPr>
          <w:t>TI ESH Specification 03.01A, “Chemical and Material Screening”</w:t>
        </w:r>
        <w:r w:rsidR="0068033B">
          <w:rPr>
            <w:noProof/>
            <w:webHidden/>
          </w:rPr>
          <w:tab/>
        </w:r>
        <w:r w:rsidR="006B27DD">
          <w:rPr>
            <w:noProof/>
            <w:webHidden/>
          </w:rPr>
          <w:fldChar w:fldCharType="begin"/>
        </w:r>
        <w:r w:rsidR="0068033B">
          <w:rPr>
            <w:noProof/>
            <w:webHidden/>
          </w:rPr>
          <w:instrText xml:space="preserve"> PAGEREF _Toc335034659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8" w14:textId="77777777" w:rsidR="0068033B" w:rsidRDefault="00733717">
      <w:pPr>
        <w:pStyle w:val="TOC2"/>
        <w:rPr>
          <w:rFonts w:asciiTheme="minorHAnsi" w:eastAsiaTheme="minorEastAsia" w:hAnsiTheme="minorHAnsi" w:cstheme="minorBidi"/>
          <w:noProof/>
          <w:sz w:val="22"/>
          <w:szCs w:val="22"/>
        </w:rPr>
      </w:pPr>
      <w:hyperlink w:anchor="_Toc335034660" w:history="1">
        <w:r w:rsidR="0068033B" w:rsidRPr="00B20563">
          <w:rPr>
            <w:rStyle w:val="Hyperlink"/>
            <w:noProof/>
          </w:rPr>
          <w:t>3.3</w:t>
        </w:r>
        <w:r w:rsidR="0068033B">
          <w:rPr>
            <w:rFonts w:asciiTheme="minorHAnsi" w:eastAsiaTheme="minorEastAsia" w:hAnsiTheme="minorHAnsi" w:cstheme="minorBidi"/>
            <w:noProof/>
            <w:sz w:val="22"/>
            <w:szCs w:val="22"/>
          </w:rPr>
          <w:tab/>
        </w:r>
        <w:r w:rsidR="0068033B" w:rsidRPr="00B20563">
          <w:rPr>
            <w:rStyle w:val="Hyperlink"/>
            <w:noProof/>
          </w:rPr>
          <w:t>TI ESH Specification 03.01D: "Chemical Exposure Assessment"</w:t>
        </w:r>
        <w:r w:rsidR="0068033B">
          <w:rPr>
            <w:noProof/>
            <w:webHidden/>
          </w:rPr>
          <w:tab/>
        </w:r>
        <w:r w:rsidR="006B27DD">
          <w:rPr>
            <w:noProof/>
            <w:webHidden/>
          </w:rPr>
          <w:fldChar w:fldCharType="begin"/>
        </w:r>
        <w:r w:rsidR="0068033B">
          <w:rPr>
            <w:noProof/>
            <w:webHidden/>
          </w:rPr>
          <w:instrText xml:space="preserve"> PAGEREF _Toc335034660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9" w14:textId="77777777" w:rsidR="0068033B" w:rsidRDefault="00733717">
      <w:pPr>
        <w:pStyle w:val="TOC2"/>
        <w:rPr>
          <w:rFonts w:asciiTheme="minorHAnsi" w:eastAsiaTheme="minorEastAsia" w:hAnsiTheme="minorHAnsi" w:cstheme="minorBidi"/>
          <w:noProof/>
          <w:sz w:val="22"/>
          <w:szCs w:val="22"/>
        </w:rPr>
      </w:pPr>
      <w:hyperlink w:anchor="_Toc335034661" w:history="1">
        <w:r w:rsidR="0068033B" w:rsidRPr="00B20563">
          <w:rPr>
            <w:rStyle w:val="Hyperlink"/>
            <w:noProof/>
            <w:lang w:val="it-IT"/>
          </w:rPr>
          <w:t>3.4</w:t>
        </w:r>
        <w:r w:rsidR="0068033B">
          <w:rPr>
            <w:rFonts w:asciiTheme="minorHAnsi" w:eastAsiaTheme="minorEastAsia" w:hAnsiTheme="minorHAnsi" w:cstheme="minorBidi"/>
            <w:noProof/>
            <w:sz w:val="22"/>
            <w:szCs w:val="22"/>
          </w:rPr>
          <w:tab/>
        </w:r>
        <w:r w:rsidR="0068033B" w:rsidRPr="00B20563">
          <w:rPr>
            <w:rStyle w:val="Hyperlink"/>
            <w:noProof/>
            <w:lang w:val="it-IT"/>
          </w:rPr>
          <w:t>TI ESH Specification 03.01D Appendix A: TI Occupational Exposure Limits</w:t>
        </w:r>
        <w:r w:rsidR="0068033B">
          <w:rPr>
            <w:noProof/>
            <w:webHidden/>
          </w:rPr>
          <w:tab/>
        </w:r>
        <w:r w:rsidR="006B27DD">
          <w:rPr>
            <w:noProof/>
            <w:webHidden/>
          </w:rPr>
          <w:fldChar w:fldCharType="begin"/>
        </w:r>
        <w:r w:rsidR="0068033B">
          <w:rPr>
            <w:noProof/>
            <w:webHidden/>
          </w:rPr>
          <w:instrText xml:space="preserve"> PAGEREF _Toc335034661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A"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62" w:history="1">
        <w:r w:rsidR="0068033B" w:rsidRPr="00B20563">
          <w:rPr>
            <w:rStyle w:val="Hyperlink"/>
            <w:noProof/>
          </w:rPr>
          <w:t>4.0</w:t>
        </w:r>
        <w:r w:rsidR="0068033B">
          <w:rPr>
            <w:rFonts w:asciiTheme="minorHAnsi" w:eastAsiaTheme="minorEastAsia" w:hAnsiTheme="minorHAnsi" w:cstheme="minorBidi"/>
            <w:caps w:val="0"/>
            <w:noProof/>
            <w:sz w:val="22"/>
            <w:szCs w:val="22"/>
          </w:rPr>
          <w:tab/>
        </w:r>
        <w:r w:rsidR="0068033B" w:rsidRPr="00B20563">
          <w:rPr>
            <w:rStyle w:val="Hyperlink"/>
            <w:noProof/>
          </w:rPr>
          <w:t>Definitions</w:t>
        </w:r>
        <w:r w:rsidR="0068033B">
          <w:rPr>
            <w:noProof/>
            <w:webHidden/>
          </w:rPr>
          <w:tab/>
        </w:r>
        <w:r w:rsidR="006B27DD">
          <w:rPr>
            <w:noProof/>
            <w:webHidden/>
          </w:rPr>
          <w:fldChar w:fldCharType="begin"/>
        </w:r>
        <w:r w:rsidR="0068033B">
          <w:rPr>
            <w:noProof/>
            <w:webHidden/>
          </w:rPr>
          <w:instrText xml:space="preserve"> PAGEREF _Toc335034662 \h </w:instrText>
        </w:r>
        <w:r w:rsidR="006B27DD">
          <w:rPr>
            <w:noProof/>
            <w:webHidden/>
          </w:rPr>
        </w:r>
        <w:r w:rsidR="006B27DD">
          <w:rPr>
            <w:noProof/>
            <w:webHidden/>
          </w:rPr>
          <w:fldChar w:fldCharType="separate"/>
        </w:r>
        <w:r w:rsidR="0068033B">
          <w:rPr>
            <w:noProof/>
            <w:webHidden/>
          </w:rPr>
          <w:t>1</w:t>
        </w:r>
        <w:r w:rsidR="006B27DD">
          <w:rPr>
            <w:noProof/>
            <w:webHidden/>
          </w:rPr>
          <w:fldChar w:fldCharType="end"/>
        </w:r>
      </w:hyperlink>
    </w:p>
    <w:p w14:paraId="29384B5B"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63" w:history="1">
        <w:r w:rsidR="0068033B" w:rsidRPr="00B20563">
          <w:rPr>
            <w:rStyle w:val="Hyperlink"/>
            <w:noProof/>
          </w:rPr>
          <w:t>5.0</w:t>
        </w:r>
        <w:r w:rsidR="0068033B">
          <w:rPr>
            <w:rFonts w:asciiTheme="minorHAnsi" w:eastAsiaTheme="minorEastAsia" w:hAnsiTheme="minorHAnsi" w:cstheme="minorBidi"/>
            <w:caps w:val="0"/>
            <w:noProof/>
            <w:sz w:val="22"/>
            <w:szCs w:val="22"/>
          </w:rPr>
          <w:tab/>
        </w:r>
        <w:r w:rsidR="0068033B" w:rsidRPr="00B20563">
          <w:rPr>
            <w:rStyle w:val="Hyperlink"/>
            <w:noProof/>
          </w:rPr>
          <w:t>Requirements</w:t>
        </w:r>
        <w:r w:rsidR="0068033B">
          <w:rPr>
            <w:noProof/>
            <w:webHidden/>
          </w:rPr>
          <w:tab/>
        </w:r>
        <w:r w:rsidR="006B27DD">
          <w:rPr>
            <w:noProof/>
            <w:webHidden/>
          </w:rPr>
          <w:fldChar w:fldCharType="begin"/>
        </w:r>
        <w:r w:rsidR="0068033B">
          <w:rPr>
            <w:noProof/>
            <w:webHidden/>
          </w:rPr>
          <w:instrText xml:space="preserve"> PAGEREF _Toc335034663 \h </w:instrText>
        </w:r>
        <w:r w:rsidR="006B27DD">
          <w:rPr>
            <w:noProof/>
            <w:webHidden/>
          </w:rPr>
        </w:r>
        <w:r w:rsidR="006B27DD">
          <w:rPr>
            <w:noProof/>
            <w:webHidden/>
          </w:rPr>
          <w:fldChar w:fldCharType="separate"/>
        </w:r>
        <w:r w:rsidR="0068033B">
          <w:rPr>
            <w:noProof/>
            <w:webHidden/>
          </w:rPr>
          <w:t>2</w:t>
        </w:r>
        <w:r w:rsidR="006B27DD">
          <w:rPr>
            <w:noProof/>
            <w:webHidden/>
          </w:rPr>
          <w:fldChar w:fldCharType="end"/>
        </w:r>
      </w:hyperlink>
    </w:p>
    <w:p w14:paraId="29384B5C" w14:textId="77777777" w:rsidR="0068033B" w:rsidRDefault="00733717">
      <w:pPr>
        <w:pStyle w:val="TOC2"/>
        <w:rPr>
          <w:rFonts w:asciiTheme="minorHAnsi" w:eastAsiaTheme="minorEastAsia" w:hAnsiTheme="minorHAnsi" w:cstheme="minorBidi"/>
          <w:noProof/>
          <w:sz w:val="22"/>
          <w:szCs w:val="22"/>
        </w:rPr>
      </w:pPr>
      <w:hyperlink w:anchor="_Toc335034664" w:history="1">
        <w:r w:rsidR="0068033B" w:rsidRPr="00B20563">
          <w:rPr>
            <w:rStyle w:val="Hyperlink"/>
            <w:noProof/>
          </w:rPr>
          <w:t>5.1</w:t>
        </w:r>
        <w:r w:rsidR="0068033B">
          <w:rPr>
            <w:rFonts w:asciiTheme="minorHAnsi" w:eastAsiaTheme="minorEastAsia" w:hAnsiTheme="minorHAnsi" w:cstheme="minorBidi"/>
            <w:noProof/>
            <w:sz w:val="22"/>
            <w:szCs w:val="22"/>
          </w:rPr>
          <w:tab/>
        </w:r>
        <w:r w:rsidR="0068033B" w:rsidRPr="00B20563">
          <w:rPr>
            <w:rStyle w:val="Hyperlink"/>
            <w:noProof/>
          </w:rPr>
          <w:t>Control Methods</w:t>
        </w:r>
        <w:r w:rsidR="0068033B">
          <w:rPr>
            <w:noProof/>
            <w:webHidden/>
          </w:rPr>
          <w:tab/>
        </w:r>
        <w:r w:rsidR="006B27DD">
          <w:rPr>
            <w:noProof/>
            <w:webHidden/>
          </w:rPr>
          <w:fldChar w:fldCharType="begin"/>
        </w:r>
        <w:r w:rsidR="0068033B">
          <w:rPr>
            <w:noProof/>
            <w:webHidden/>
          </w:rPr>
          <w:instrText xml:space="preserve"> PAGEREF _Toc335034664 \h </w:instrText>
        </w:r>
        <w:r w:rsidR="006B27DD">
          <w:rPr>
            <w:noProof/>
            <w:webHidden/>
          </w:rPr>
        </w:r>
        <w:r w:rsidR="006B27DD">
          <w:rPr>
            <w:noProof/>
            <w:webHidden/>
          </w:rPr>
          <w:fldChar w:fldCharType="separate"/>
        </w:r>
        <w:r w:rsidR="0068033B">
          <w:rPr>
            <w:noProof/>
            <w:webHidden/>
          </w:rPr>
          <w:t>2</w:t>
        </w:r>
        <w:r w:rsidR="006B27DD">
          <w:rPr>
            <w:noProof/>
            <w:webHidden/>
          </w:rPr>
          <w:fldChar w:fldCharType="end"/>
        </w:r>
      </w:hyperlink>
    </w:p>
    <w:p w14:paraId="29384B5D" w14:textId="77777777" w:rsidR="0068033B" w:rsidRDefault="00733717">
      <w:pPr>
        <w:pStyle w:val="TOC2"/>
        <w:rPr>
          <w:rFonts w:asciiTheme="minorHAnsi" w:eastAsiaTheme="minorEastAsia" w:hAnsiTheme="minorHAnsi" w:cstheme="minorBidi"/>
          <w:noProof/>
          <w:sz w:val="22"/>
          <w:szCs w:val="22"/>
        </w:rPr>
      </w:pPr>
      <w:hyperlink w:anchor="_Toc335034665" w:history="1">
        <w:r w:rsidR="0068033B" w:rsidRPr="00B20563">
          <w:rPr>
            <w:rStyle w:val="Hyperlink"/>
            <w:noProof/>
          </w:rPr>
          <w:t>5.2</w:t>
        </w:r>
        <w:r w:rsidR="0068033B">
          <w:rPr>
            <w:rFonts w:asciiTheme="minorHAnsi" w:eastAsiaTheme="minorEastAsia" w:hAnsiTheme="minorHAnsi" w:cstheme="minorBidi"/>
            <w:noProof/>
            <w:sz w:val="22"/>
            <w:szCs w:val="22"/>
          </w:rPr>
          <w:tab/>
        </w:r>
        <w:r w:rsidR="0068033B" w:rsidRPr="00B20563">
          <w:rPr>
            <w:rStyle w:val="Hyperlink"/>
            <w:noProof/>
          </w:rPr>
          <w:t>Training</w:t>
        </w:r>
        <w:r w:rsidR="0068033B">
          <w:rPr>
            <w:noProof/>
            <w:webHidden/>
          </w:rPr>
          <w:tab/>
        </w:r>
        <w:r w:rsidR="006B27DD">
          <w:rPr>
            <w:noProof/>
            <w:webHidden/>
          </w:rPr>
          <w:fldChar w:fldCharType="begin"/>
        </w:r>
        <w:r w:rsidR="0068033B">
          <w:rPr>
            <w:noProof/>
            <w:webHidden/>
          </w:rPr>
          <w:instrText xml:space="preserve"> PAGEREF _Toc335034665 \h </w:instrText>
        </w:r>
        <w:r w:rsidR="006B27DD">
          <w:rPr>
            <w:noProof/>
            <w:webHidden/>
          </w:rPr>
        </w:r>
        <w:r w:rsidR="006B27DD">
          <w:rPr>
            <w:noProof/>
            <w:webHidden/>
          </w:rPr>
          <w:fldChar w:fldCharType="separate"/>
        </w:r>
        <w:r w:rsidR="0068033B">
          <w:rPr>
            <w:noProof/>
            <w:webHidden/>
          </w:rPr>
          <w:t>3</w:t>
        </w:r>
        <w:r w:rsidR="006B27DD">
          <w:rPr>
            <w:noProof/>
            <w:webHidden/>
          </w:rPr>
          <w:fldChar w:fldCharType="end"/>
        </w:r>
      </w:hyperlink>
    </w:p>
    <w:p w14:paraId="29384B5E" w14:textId="77777777" w:rsidR="0068033B" w:rsidRDefault="00733717">
      <w:pPr>
        <w:pStyle w:val="TOC2"/>
        <w:rPr>
          <w:rFonts w:asciiTheme="minorHAnsi" w:eastAsiaTheme="minorEastAsia" w:hAnsiTheme="minorHAnsi" w:cstheme="minorBidi"/>
          <w:noProof/>
          <w:sz w:val="22"/>
          <w:szCs w:val="22"/>
        </w:rPr>
      </w:pPr>
      <w:hyperlink w:anchor="_Toc335034666" w:history="1">
        <w:r w:rsidR="0068033B" w:rsidRPr="00B20563">
          <w:rPr>
            <w:rStyle w:val="Hyperlink"/>
            <w:noProof/>
          </w:rPr>
          <w:t>5.3</w:t>
        </w:r>
        <w:r w:rsidR="0068033B">
          <w:rPr>
            <w:rFonts w:asciiTheme="minorHAnsi" w:eastAsiaTheme="minorEastAsia" w:hAnsiTheme="minorHAnsi" w:cstheme="minorBidi"/>
            <w:noProof/>
            <w:sz w:val="22"/>
            <w:szCs w:val="22"/>
          </w:rPr>
          <w:tab/>
        </w:r>
        <w:r w:rsidR="0068033B" w:rsidRPr="00B20563">
          <w:rPr>
            <w:rStyle w:val="Hyperlink"/>
            <w:noProof/>
          </w:rPr>
          <w:t>Recordkeeping</w:t>
        </w:r>
        <w:r w:rsidR="0068033B">
          <w:rPr>
            <w:noProof/>
            <w:webHidden/>
          </w:rPr>
          <w:tab/>
        </w:r>
        <w:r w:rsidR="006B27DD">
          <w:rPr>
            <w:noProof/>
            <w:webHidden/>
          </w:rPr>
          <w:fldChar w:fldCharType="begin"/>
        </w:r>
        <w:r w:rsidR="0068033B">
          <w:rPr>
            <w:noProof/>
            <w:webHidden/>
          </w:rPr>
          <w:instrText xml:space="preserve"> PAGEREF _Toc335034666 \h </w:instrText>
        </w:r>
        <w:r w:rsidR="006B27DD">
          <w:rPr>
            <w:noProof/>
            <w:webHidden/>
          </w:rPr>
        </w:r>
        <w:r w:rsidR="006B27DD">
          <w:rPr>
            <w:noProof/>
            <w:webHidden/>
          </w:rPr>
          <w:fldChar w:fldCharType="separate"/>
        </w:r>
        <w:r w:rsidR="0068033B">
          <w:rPr>
            <w:noProof/>
            <w:webHidden/>
          </w:rPr>
          <w:t>3</w:t>
        </w:r>
        <w:r w:rsidR="006B27DD">
          <w:rPr>
            <w:noProof/>
            <w:webHidden/>
          </w:rPr>
          <w:fldChar w:fldCharType="end"/>
        </w:r>
      </w:hyperlink>
    </w:p>
    <w:p w14:paraId="29384B5F"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67" w:history="1">
        <w:r w:rsidR="0068033B" w:rsidRPr="00B20563">
          <w:rPr>
            <w:rStyle w:val="Hyperlink"/>
            <w:noProof/>
          </w:rPr>
          <w:t>6.0</w:t>
        </w:r>
        <w:r w:rsidR="0068033B">
          <w:rPr>
            <w:rFonts w:asciiTheme="minorHAnsi" w:eastAsiaTheme="minorEastAsia" w:hAnsiTheme="minorHAnsi" w:cstheme="minorBidi"/>
            <w:caps w:val="0"/>
            <w:noProof/>
            <w:sz w:val="22"/>
            <w:szCs w:val="22"/>
          </w:rPr>
          <w:tab/>
        </w:r>
        <w:r w:rsidR="0068033B" w:rsidRPr="00B20563">
          <w:rPr>
            <w:rStyle w:val="Hyperlink"/>
            <w:noProof/>
          </w:rPr>
          <w:t>STANDARD Approval</w:t>
        </w:r>
        <w:r w:rsidR="0068033B">
          <w:rPr>
            <w:noProof/>
            <w:webHidden/>
          </w:rPr>
          <w:tab/>
        </w:r>
        <w:r w:rsidR="006B27DD">
          <w:rPr>
            <w:noProof/>
            <w:webHidden/>
          </w:rPr>
          <w:fldChar w:fldCharType="begin"/>
        </w:r>
        <w:r w:rsidR="0068033B">
          <w:rPr>
            <w:noProof/>
            <w:webHidden/>
          </w:rPr>
          <w:instrText xml:space="preserve"> PAGEREF _Toc335034667 \h </w:instrText>
        </w:r>
        <w:r w:rsidR="006B27DD">
          <w:rPr>
            <w:noProof/>
            <w:webHidden/>
          </w:rPr>
        </w:r>
        <w:r w:rsidR="006B27DD">
          <w:rPr>
            <w:noProof/>
            <w:webHidden/>
          </w:rPr>
          <w:fldChar w:fldCharType="separate"/>
        </w:r>
        <w:r w:rsidR="0068033B">
          <w:rPr>
            <w:noProof/>
            <w:webHidden/>
          </w:rPr>
          <w:t>3</w:t>
        </w:r>
        <w:r w:rsidR="006B27DD">
          <w:rPr>
            <w:noProof/>
            <w:webHidden/>
          </w:rPr>
          <w:fldChar w:fldCharType="end"/>
        </w:r>
      </w:hyperlink>
    </w:p>
    <w:p w14:paraId="29384B60" w14:textId="77777777" w:rsidR="0068033B" w:rsidRDefault="00733717">
      <w:pPr>
        <w:pStyle w:val="TOC1"/>
        <w:tabs>
          <w:tab w:val="left" w:pos="810"/>
          <w:tab w:val="right" w:leader="dot" w:pos="9350"/>
        </w:tabs>
        <w:rPr>
          <w:rFonts w:asciiTheme="minorHAnsi" w:eastAsiaTheme="minorEastAsia" w:hAnsiTheme="minorHAnsi" w:cstheme="minorBidi"/>
          <w:caps w:val="0"/>
          <w:noProof/>
          <w:sz w:val="22"/>
          <w:szCs w:val="22"/>
        </w:rPr>
      </w:pPr>
      <w:hyperlink w:anchor="_Toc335034668" w:history="1">
        <w:r w:rsidR="0068033B" w:rsidRPr="00B20563">
          <w:rPr>
            <w:rStyle w:val="Hyperlink"/>
            <w:noProof/>
          </w:rPr>
          <w:t>7.0</w:t>
        </w:r>
        <w:r w:rsidR="0068033B">
          <w:rPr>
            <w:rFonts w:asciiTheme="minorHAnsi" w:eastAsiaTheme="minorEastAsia" w:hAnsiTheme="minorHAnsi" w:cstheme="minorBidi"/>
            <w:caps w:val="0"/>
            <w:noProof/>
            <w:sz w:val="22"/>
            <w:szCs w:val="22"/>
          </w:rPr>
          <w:tab/>
        </w:r>
        <w:r w:rsidR="0068033B" w:rsidRPr="00B20563">
          <w:rPr>
            <w:rStyle w:val="Hyperlink"/>
            <w:noProof/>
          </w:rPr>
          <w:t>Revision history</w:t>
        </w:r>
        <w:r w:rsidR="0068033B">
          <w:rPr>
            <w:noProof/>
            <w:webHidden/>
          </w:rPr>
          <w:tab/>
        </w:r>
        <w:r w:rsidR="006B27DD">
          <w:rPr>
            <w:noProof/>
            <w:webHidden/>
          </w:rPr>
          <w:fldChar w:fldCharType="begin"/>
        </w:r>
        <w:r w:rsidR="0068033B">
          <w:rPr>
            <w:noProof/>
            <w:webHidden/>
          </w:rPr>
          <w:instrText xml:space="preserve"> PAGEREF _Toc335034668 \h </w:instrText>
        </w:r>
        <w:r w:rsidR="006B27DD">
          <w:rPr>
            <w:noProof/>
            <w:webHidden/>
          </w:rPr>
        </w:r>
        <w:r w:rsidR="006B27DD">
          <w:rPr>
            <w:noProof/>
            <w:webHidden/>
          </w:rPr>
          <w:fldChar w:fldCharType="separate"/>
        </w:r>
        <w:r w:rsidR="0068033B">
          <w:rPr>
            <w:noProof/>
            <w:webHidden/>
          </w:rPr>
          <w:t>4</w:t>
        </w:r>
        <w:r w:rsidR="006B27DD">
          <w:rPr>
            <w:noProof/>
            <w:webHidden/>
          </w:rPr>
          <w:fldChar w:fldCharType="end"/>
        </w:r>
      </w:hyperlink>
    </w:p>
    <w:p w14:paraId="29384B61" w14:textId="77777777" w:rsidR="007876AE" w:rsidRDefault="006B27DD">
      <w:pPr>
        <w:pStyle w:val="TOC1"/>
      </w:pPr>
      <w:r>
        <w:fldChar w:fldCharType="end"/>
      </w:r>
    </w:p>
    <w:p w14:paraId="29384B62" w14:textId="77777777" w:rsidR="007876AE" w:rsidRDefault="007876AE">
      <w:pPr>
        <w:pStyle w:val="Heading1"/>
      </w:pPr>
      <w:bookmarkStart w:id="0" w:name="_Toc310781373"/>
      <w:bookmarkStart w:id="1" w:name="_Toc335034655"/>
      <w:r>
        <w:t>PURPOSE</w:t>
      </w:r>
      <w:bookmarkEnd w:id="0"/>
      <w:bookmarkEnd w:id="1"/>
    </w:p>
    <w:p w14:paraId="29384B63" w14:textId="77777777" w:rsidR="00D8554F" w:rsidRPr="00D8554F" w:rsidRDefault="00D8554F" w:rsidP="00D8554F">
      <w:pPr>
        <w:pStyle w:val="BodyTextIndent"/>
        <w:rPr>
          <w:rFonts w:ascii="Arial" w:hAnsi="Arial" w:cs="Arial"/>
          <w:color w:val="000000"/>
        </w:rPr>
      </w:pPr>
      <w:r w:rsidRPr="00D8554F">
        <w:rPr>
          <w:rFonts w:ascii="Arial" w:hAnsi="Arial" w:cs="Arial"/>
          <w:color w:val="000000"/>
        </w:rPr>
        <w:t xml:space="preserve">To establish the minimum requirements for the safe use and handling of lead-containing solder.   </w:t>
      </w:r>
    </w:p>
    <w:p w14:paraId="29384B64" w14:textId="77777777" w:rsidR="007876AE" w:rsidRPr="00D8554F" w:rsidRDefault="007876AE" w:rsidP="00D8554F">
      <w:pPr>
        <w:pStyle w:val="BodyTextIndent"/>
        <w:ind w:left="450"/>
        <w:rPr>
          <w:rFonts w:ascii="Arial" w:hAnsi="Arial" w:cs="Arial"/>
        </w:rPr>
      </w:pPr>
      <w:r w:rsidRPr="00012E28">
        <w:rPr>
          <w:rFonts w:ascii="Arial" w:hAnsi="Arial" w:cs="Arial"/>
        </w:rPr>
        <w:t>.</w:t>
      </w:r>
    </w:p>
    <w:p w14:paraId="29384B65" w14:textId="77777777" w:rsidR="007876AE" w:rsidRDefault="007876AE">
      <w:pPr>
        <w:pStyle w:val="Heading1"/>
      </w:pPr>
      <w:bookmarkStart w:id="2" w:name="_Toc310781374"/>
      <w:bookmarkStart w:id="3" w:name="_Toc335034656"/>
      <w:r>
        <w:t>SCOPE</w:t>
      </w:r>
      <w:bookmarkEnd w:id="2"/>
      <w:bookmarkEnd w:id="3"/>
    </w:p>
    <w:p w14:paraId="29384B66" w14:textId="77777777" w:rsidR="00D8554F" w:rsidRPr="00D8554F" w:rsidRDefault="00D8554F" w:rsidP="00D8554F">
      <w:pPr>
        <w:pStyle w:val="BodyTextIndent"/>
        <w:rPr>
          <w:rFonts w:ascii="Arial" w:hAnsi="Arial" w:cs="Arial"/>
          <w:color w:val="000000"/>
        </w:rPr>
      </w:pPr>
      <w:r w:rsidRPr="00D8554F">
        <w:rPr>
          <w:rFonts w:ascii="Arial" w:hAnsi="Arial" w:cs="Arial"/>
          <w:color w:val="000000"/>
        </w:rPr>
        <w:t xml:space="preserve">The provisions of this specification apply to solder operations using lead–containing solder.  Examples of such operations include hand soldering, solder pot use or wave solder machine operations. Other applications using lead–containing materials will be subject to review and approval of the Chemical and Material Screening Coordinator (CMSC) in accordance with </w:t>
      </w:r>
      <w:smartTag w:uri="urn:schemas-microsoft-com:office:smarttags" w:element="PersonName">
        <w:r w:rsidRPr="00D8554F">
          <w:rPr>
            <w:rFonts w:ascii="Arial" w:hAnsi="Arial" w:cs="Arial"/>
            <w:color w:val="000000"/>
          </w:rPr>
          <w:t>TI ESH</w:t>
        </w:r>
      </w:smartTag>
      <w:r w:rsidRPr="00D8554F">
        <w:rPr>
          <w:rFonts w:ascii="Arial" w:hAnsi="Arial" w:cs="Arial"/>
          <w:color w:val="000000"/>
        </w:rPr>
        <w:t xml:space="preserve"> Specification 03.01A, “Chemical </w:t>
      </w:r>
      <w:r>
        <w:rPr>
          <w:rFonts w:ascii="Arial" w:hAnsi="Arial" w:cs="Arial"/>
          <w:color w:val="000000"/>
        </w:rPr>
        <w:t xml:space="preserve">and </w:t>
      </w:r>
      <w:r w:rsidRPr="00D8554F">
        <w:rPr>
          <w:rFonts w:ascii="Arial" w:hAnsi="Arial" w:cs="Arial"/>
          <w:color w:val="000000"/>
        </w:rPr>
        <w:t>Material Screening”.</w:t>
      </w:r>
    </w:p>
    <w:p w14:paraId="29384B67" w14:textId="77777777" w:rsidR="00D8554F" w:rsidRDefault="00D8554F">
      <w:pPr>
        <w:pStyle w:val="BodyTextIndent"/>
        <w:rPr>
          <w:rFonts w:ascii="Arial" w:hAnsi="Arial" w:cs="Arial"/>
          <w:snapToGrid w:val="0"/>
        </w:rPr>
      </w:pPr>
    </w:p>
    <w:p w14:paraId="29384B68" w14:textId="77777777" w:rsidR="007876AE" w:rsidRPr="00012E28" w:rsidRDefault="007876AE">
      <w:pPr>
        <w:pStyle w:val="BodyTextIndent"/>
        <w:rPr>
          <w:rFonts w:ascii="Arial" w:hAnsi="Arial" w:cs="Arial"/>
          <w:snapToGrid w:val="0"/>
        </w:rPr>
      </w:pPr>
      <w:r w:rsidRPr="00D8554F">
        <w:rPr>
          <w:rFonts w:ascii="Arial" w:hAnsi="Arial" w:cs="Arial"/>
          <w:snapToGrid w:val="0"/>
        </w:rPr>
        <w:t xml:space="preserve">The provisions of this </w:t>
      </w:r>
      <w:r w:rsidRPr="00D8554F">
        <w:rPr>
          <w:rFonts w:ascii="Arial" w:hAnsi="Arial" w:cs="Arial"/>
        </w:rPr>
        <w:t>standard</w:t>
      </w:r>
      <w:r w:rsidRPr="00D8554F">
        <w:rPr>
          <w:rFonts w:ascii="Arial" w:hAnsi="Arial" w:cs="Arial"/>
          <w:snapToGrid w:val="0"/>
        </w:rPr>
        <w:t xml:space="preserve"> apply to all TI employees, suppliers, vendors, and visitors at TI sites</w:t>
      </w:r>
      <w:r w:rsidRPr="00012E28">
        <w:rPr>
          <w:rFonts w:ascii="Arial" w:hAnsi="Arial" w:cs="Arial"/>
          <w:snapToGrid w:val="0"/>
        </w:rPr>
        <w:t xml:space="preserve"> worldwide.</w:t>
      </w:r>
    </w:p>
    <w:p w14:paraId="29384B69" w14:textId="77777777" w:rsidR="007876AE" w:rsidRDefault="007876AE"/>
    <w:p w14:paraId="29384B6A" w14:textId="77777777" w:rsidR="007876AE" w:rsidRDefault="007876AE">
      <w:pPr>
        <w:pStyle w:val="Heading1"/>
      </w:pPr>
      <w:bookmarkStart w:id="4" w:name="_Toc310781375"/>
      <w:bookmarkStart w:id="5" w:name="_Toc335034657"/>
      <w:r>
        <w:t>reference documents</w:t>
      </w:r>
      <w:bookmarkEnd w:id="4"/>
      <w:bookmarkEnd w:id="5"/>
    </w:p>
    <w:p w14:paraId="29384B6B" w14:textId="77777777" w:rsidR="007876AE" w:rsidRDefault="007876AE" w:rsidP="00E2129C">
      <w:pPr>
        <w:pStyle w:val="Heading2"/>
      </w:pPr>
      <w:bookmarkStart w:id="6" w:name="_Toc335034658"/>
      <w:r w:rsidRPr="00012E28">
        <w:t>TI Standard Policy and Procedure (SP&amp;P) 04-04-01: "Environmental, Health and Safety"</w:t>
      </w:r>
      <w:bookmarkEnd w:id="6"/>
    </w:p>
    <w:p w14:paraId="29384B6C" w14:textId="77777777" w:rsidR="00562D31" w:rsidRDefault="00562D31" w:rsidP="00E2129C">
      <w:pPr>
        <w:pStyle w:val="Heading2"/>
      </w:pPr>
      <w:bookmarkStart w:id="7" w:name="_Toc335034659"/>
      <w:r>
        <w:t xml:space="preserve">TI ESH Specification 03.01A, </w:t>
      </w:r>
      <w:r w:rsidRPr="00562D31">
        <w:t>“Chemical and Material Screening”</w:t>
      </w:r>
      <w:bookmarkEnd w:id="7"/>
    </w:p>
    <w:p w14:paraId="29384B6D" w14:textId="77777777" w:rsidR="00562D31" w:rsidRDefault="00562D31" w:rsidP="00E2129C">
      <w:pPr>
        <w:pStyle w:val="Heading2"/>
      </w:pPr>
      <w:bookmarkStart w:id="8" w:name="_Toc335034660"/>
      <w:r>
        <w:t>TI ESH Specification 03.01D: "</w:t>
      </w:r>
      <w:r w:rsidRPr="00562D31">
        <w:rPr>
          <w:rFonts w:cs="Times New Roman"/>
        </w:rPr>
        <w:t>Chemical Exposure Assessment</w:t>
      </w:r>
      <w:r>
        <w:t>"</w:t>
      </w:r>
      <w:bookmarkEnd w:id="8"/>
    </w:p>
    <w:p w14:paraId="29384B6E" w14:textId="77777777" w:rsidR="00562D31" w:rsidRPr="00A96E6A" w:rsidRDefault="00562D31" w:rsidP="00E2129C">
      <w:pPr>
        <w:pStyle w:val="Heading2"/>
        <w:rPr>
          <w:lang w:val="it-IT"/>
        </w:rPr>
      </w:pPr>
      <w:bookmarkStart w:id="9" w:name="_Toc335034661"/>
      <w:r w:rsidRPr="00A96E6A">
        <w:rPr>
          <w:lang w:val="it-IT"/>
        </w:rPr>
        <w:t xml:space="preserve">TI ESH Specification 03.01D Appendix A: </w:t>
      </w:r>
      <w:bookmarkStart w:id="10" w:name="_Toc38163468"/>
      <w:r w:rsidRPr="00562D31">
        <w:rPr>
          <w:rFonts w:cs="Times New Roman"/>
          <w:lang w:val="it-IT"/>
        </w:rPr>
        <w:t>TI Occupational Exposure Limits</w:t>
      </w:r>
      <w:bookmarkEnd w:id="9"/>
      <w:bookmarkEnd w:id="10"/>
    </w:p>
    <w:p w14:paraId="29384B6F" w14:textId="77777777" w:rsidR="007876AE" w:rsidRPr="00F42432" w:rsidRDefault="007876AE" w:rsidP="00F42432"/>
    <w:p w14:paraId="29384B70" w14:textId="77777777" w:rsidR="007876AE" w:rsidRDefault="007876AE">
      <w:pPr>
        <w:pStyle w:val="Heading1"/>
      </w:pPr>
      <w:bookmarkStart w:id="11" w:name="_Toc310781377"/>
      <w:bookmarkStart w:id="12" w:name="_Toc310923113"/>
      <w:bookmarkStart w:id="13" w:name="_Toc310923242"/>
      <w:bookmarkStart w:id="14" w:name="_Toc310923323"/>
      <w:bookmarkStart w:id="15" w:name="_Toc310781378"/>
      <w:bookmarkStart w:id="16" w:name="_Toc310923114"/>
      <w:bookmarkStart w:id="17" w:name="_Toc310923243"/>
      <w:bookmarkStart w:id="18" w:name="_Toc310923324"/>
      <w:bookmarkStart w:id="19" w:name="_Toc310781384"/>
      <w:bookmarkStart w:id="20" w:name="_Toc335034662"/>
      <w:bookmarkEnd w:id="11"/>
      <w:bookmarkEnd w:id="12"/>
      <w:bookmarkEnd w:id="13"/>
      <w:bookmarkEnd w:id="14"/>
      <w:bookmarkEnd w:id="15"/>
      <w:bookmarkEnd w:id="16"/>
      <w:bookmarkEnd w:id="17"/>
      <w:bookmarkEnd w:id="18"/>
      <w:r>
        <w:t>Definitions</w:t>
      </w:r>
      <w:bookmarkEnd w:id="19"/>
      <w:bookmarkEnd w:id="20"/>
    </w:p>
    <w:p w14:paraId="29384B71" w14:textId="2E5A5209" w:rsidR="007876AE" w:rsidRPr="00872BF3" w:rsidRDefault="00872BF3" w:rsidP="009D02DE">
      <w:pPr>
        <w:pStyle w:val="BodyTextIndent"/>
        <w:rPr>
          <w:rStyle w:val="Hyperlink"/>
        </w:rPr>
      </w:pPr>
      <w:r>
        <w:fldChar w:fldCharType="begin"/>
      </w:r>
      <w:r>
        <w:instrText xml:space="preserve"> HYPERLINK "https://sps01.itg.ti.com/sites/wwf/esh/standards/Knowledge_Bank/00.01.xlsx" </w:instrText>
      </w:r>
      <w:r>
        <w:fldChar w:fldCharType="separate"/>
      </w:r>
      <w:r w:rsidR="007876AE" w:rsidRPr="00872BF3">
        <w:rPr>
          <w:rStyle w:val="Hyperlink"/>
        </w:rPr>
        <w:t>TI ESH Standards Glossary of Definitions</w:t>
      </w:r>
    </w:p>
    <w:p w14:paraId="29384B72" w14:textId="022C81BB" w:rsidR="007876AE" w:rsidRDefault="00872BF3">
      <w:r>
        <w:fldChar w:fldCharType="end"/>
      </w:r>
    </w:p>
    <w:p w14:paraId="29384B73" w14:textId="77777777" w:rsidR="007876AE" w:rsidRDefault="007876AE" w:rsidP="00562D31">
      <w:pPr>
        <w:pStyle w:val="Heading1"/>
        <w:spacing w:after="240"/>
      </w:pPr>
      <w:bookmarkStart w:id="21" w:name="_Toc335034663"/>
      <w:bookmarkStart w:id="22" w:name="_Toc310781385"/>
      <w:r>
        <w:lastRenderedPageBreak/>
        <w:t>Requirements</w:t>
      </w:r>
      <w:bookmarkEnd w:id="21"/>
    </w:p>
    <w:p w14:paraId="29384B74" w14:textId="77777777" w:rsidR="00562D31" w:rsidRPr="00562D31" w:rsidRDefault="00562D31" w:rsidP="00562D31">
      <w:pPr>
        <w:ind w:left="450"/>
        <w:rPr>
          <w:rFonts w:ascii="Arial" w:hAnsi="Arial" w:cs="Arial"/>
        </w:rPr>
      </w:pPr>
      <w:r w:rsidRPr="00562D31">
        <w:rPr>
          <w:rFonts w:ascii="Arial" w:hAnsi="Arial" w:cs="Arial"/>
        </w:rPr>
        <w:t xml:space="preserve">Sites that use lead-containing solder shall develop and implement a lead solder safety process which establishes the minimum requirements for the safe use, handling, and disposal of lead-containing solder and its by-products. </w:t>
      </w:r>
    </w:p>
    <w:p w14:paraId="29384B75" w14:textId="77777777" w:rsidR="004917B8" w:rsidRPr="009627E5" w:rsidRDefault="004917B8" w:rsidP="00E2129C">
      <w:pPr>
        <w:pStyle w:val="Heading2"/>
      </w:pPr>
      <w:bookmarkStart w:id="23" w:name="_Toc123390614"/>
      <w:bookmarkStart w:id="24" w:name="_Toc145490840"/>
      <w:bookmarkStart w:id="25" w:name="_Toc335034664"/>
      <w:r w:rsidRPr="009627E5">
        <w:t>Control Methods</w:t>
      </w:r>
      <w:bookmarkEnd w:id="23"/>
      <w:bookmarkEnd w:id="24"/>
      <w:bookmarkEnd w:id="25"/>
    </w:p>
    <w:p w14:paraId="29384B76" w14:textId="77777777" w:rsidR="004917B8" w:rsidRPr="00965B5E" w:rsidRDefault="004917B8" w:rsidP="00672D5A">
      <w:pPr>
        <w:pStyle w:val="Heading3"/>
      </w:pPr>
      <w:r w:rsidRPr="00965B5E">
        <w:t>Work Practices</w:t>
      </w:r>
    </w:p>
    <w:p w14:paraId="29384B77" w14:textId="77777777" w:rsidR="004917B8" w:rsidRDefault="004917B8" w:rsidP="00A22396">
      <w:pPr>
        <w:pStyle w:val="Heading4"/>
      </w:pPr>
      <w:r w:rsidRPr="00965B5E">
        <w:t xml:space="preserve">Sites </w:t>
      </w:r>
      <w:r w:rsidRPr="004917B8">
        <w:t>shall</w:t>
      </w:r>
      <w:r w:rsidRPr="00965B5E">
        <w:t xml:space="preserve"> </w:t>
      </w:r>
      <w:r>
        <w:t xml:space="preserve">implement </w:t>
      </w:r>
      <w:r w:rsidRPr="00965B5E">
        <w:t xml:space="preserve">measures </w:t>
      </w:r>
      <w:r>
        <w:t>t</w:t>
      </w:r>
      <w:r w:rsidRPr="00965B5E">
        <w:t>o minimize and/or eliminate potential lead</w:t>
      </w:r>
      <w:r>
        <w:t xml:space="preserve"> exposures and to keep areas as free of accumulations of lead as reasonably possible.  These measures include:  </w:t>
      </w:r>
    </w:p>
    <w:p w14:paraId="29384B78" w14:textId="77777777" w:rsidR="004917B8" w:rsidRDefault="004917B8" w:rsidP="00A22396">
      <w:pPr>
        <w:pStyle w:val="Heading5"/>
      </w:pPr>
      <w:r>
        <w:t>Procedures for the proper handling and use of lead-containing solder compounds.</w:t>
      </w:r>
    </w:p>
    <w:p w14:paraId="29384B79" w14:textId="77777777" w:rsidR="004917B8" w:rsidRDefault="004917B8" w:rsidP="00A22396">
      <w:pPr>
        <w:pStyle w:val="Heading5"/>
      </w:pPr>
      <w:r w:rsidRPr="00965B5E">
        <w:t>Personal protective equipment requirements</w:t>
      </w:r>
      <w:r>
        <w:t>.</w:t>
      </w:r>
    </w:p>
    <w:p w14:paraId="29384B7A" w14:textId="77777777" w:rsidR="004917B8" w:rsidRPr="00965B5E" w:rsidRDefault="004917B8" w:rsidP="00A22396">
      <w:pPr>
        <w:pStyle w:val="Heading5"/>
      </w:pPr>
      <w:r>
        <w:t>Written h</w:t>
      </w:r>
      <w:r w:rsidRPr="00965B5E">
        <w:t>ousekeeping procedures</w:t>
      </w:r>
      <w:r>
        <w:t>.</w:t>
      </w:r>
    </w:p>
    <w:p w14:paraId="29384B7B" w14:textId="77777777" w:rsidR="004917B8" w:rsidRDefault="004917B8" w:rsidP="00A22396">
      <w:pPr>
        <w:pStyle w:val="Heading4"/>
      </w:pPr>
      <w:r w:rsidRPr="00965B5E">
        <w:t xml:space="preserve">Operating temperatures for </w:t>
      </w:r>
      <w:r>
        <w:t xml:space="preserve">lead-containing </w:t>
      </w:r>
      <w:r w:rsidRPr="00965B5E">
        <w:t>soldering</w:t>
      </w:r>
      <w:r>
        <w:t xml:space="preserve"> </w:t>
      </w:r>
      <w:r w:rsidRPr="00965B5E">
        <w:t>operations compounds shall be no greater</w:t>
      </w:r>
      <w:r>
        <w:t xml:space="preserve"> </w:t>
      </w:r>
      <w:r w:rsidRPr="00965B5E">
        <w:t>than  900</w:t>
      </w:r>
      <w:r>
        <w:t xml:space="preserve"> </w:t>
      </w:r>
      <w:proofErr w:type="spellStart"/>
      <w:r w:rsidRPr="00965B5E">
        <w:rPr>
          <w:vertAlign w:val="superscript"/>
        </w:rPr>
        <w:t>o</w:t>
      </w:r>
      <w:r w:rsidRPr="00965B5E">
        <w:t>F</w:t>
      </w:r>
      <w:proofErr w:type="spellEnd"/>
      <w:r>
        <w:t xml:space="preserve"> (482</w:t>
      </w:r>
      <w:r w:rsidRPr="006429D9">
        <w:rPr>
          <w:vertAlign w:val="superscript"/>
        </w:rPr>
        <w:t xml:space="preserve"> </w:t>
      </w:r>
      <w:proofErr w:type="spellStart"/>
      <w:r w:rsidRPr="00965B5E">
        <w:rPr>
          <w:vertAlign w:val="superscript"/>
        </w:rPr>
        <w:t>o</w:t>
      </w:r>
      <w:r>
        <w:t>C</w:t>
      </w:r>
      <w:proofErr w:type="spellEnd"/>
      <w:r>
        <w:t>).</w:t>
      </w:r>
      <w:r w:rsidRPr="00965B5E">
        <w:t xml:space="preserve">  </w:t>
      </w:r>
      <w:r w:rsidRPr="00965B5E">
        <w:rPr>
          <w:u w:val="single"/>
        </w:rPr>
        <w:t>Note</w:t>
      </w:r>
      <w:r w:rsidRPr="00965B5E">
        <w:t xml:space="preserve">: </w:t>
      </w:r>
      <w:proofErr w:type="spellStart"/>
      <w:r w:rsidRPr="00965B5E">
        <w:t>Pb</w:t>
      </w:r>
      <w:proofErr w:type="spellEnd"/>
      <w:r w:rsidRPr="00965B5E">
        <w:t xml:space="preserve">/Sn solder alloys do not </w:t>
      </w:r>
      <w:r>
        <w:t xml:space="preserve">produce lead fume at temperatures </w:t>
      </w:r>
      <w:r w:rsidRPr="00965B5E">
        <w:t>below 1000</w:t>
      </w:r>
      <w:r w:rsidRPr="00965B5E">
        <w:rPr>
          <w:vertAlign w:val="superscript"/>
        </w:rPr>
        <w:t>o</w:t>
      </w:r>
      <w:r w:rsidRPr="00965B5E">
        <w:t>F</w:t>
      </w:r>
      <w:r>
        <w:t xml:space="preserve"> (538</w:t>
      </w:r>
      <w:r w:rsidRPr="006429D9">
        <w:rPr>
          <w:vertAlign w:val="superscript"/>
        </w:rPr>
        <w:t xml:space="preserve"> </w:t>
      </w:r>
      <w:proofErr w:type="spellStart"/>
      <w:r w:rsidRPr="00965B5E">
        <w:rPr>
          <w:vertAlign w:val="superscript"/>
        </w:rPr>
        <w:t>o</w:t>
      </w:r>
      <w:r>
        <w:t>C</w:t>
      </w:r>
      <w:proofErr w:type="spellEnd"/>
      <w:r>
        <w:t>).</w:t>
      </w:r>
    </w:p>
    <w:p w14:paraId="29384B7C" w14:textId="77777777" w:rsidR="006621CE" w:rsidRDefault="006621CE" w:rsidP="00A22396">
      <w:pPr>
        <w:pStyle w:val="Heading4"/>
      </w:pPr>
      <w:r>
        <w:t xml:space="preserve">The use of </w:t>
      </w:r>
      <w:r w:rsidR="005E50A1">
        <w:t>butane soldering irons is prohibited.</w:t>
      </w:r>
    </w:p>
    <w:p w14:paraId="29384B7D" w14:textId="77777777" w:rsidR="004917B8" w:rsidRDefault="004917B8" w:rsidP="00A22396">
      <w:pPr>
        <w:pStyle w:val="Heading4"/>
      </w:pPr>
      <w:r>
        <w:t>Areas where lead –containing solder is used or stored shall have a visible and legible caution sign to inform employees of the use of lead in the work area;</w:t>
      </w:r>
    </w:p>
    <w:p w14:paraId="29384B7E" w14:textId="77777777" w:rsidR="004917B8" w:rsidRPr="00A96E6A" w:rsidRDefault="004917B8" w:rsidP="00A22396">
      <w:pPr>
        <w:pStyle w:val="Heading5"/>
      </w:pPr>
      <w:r w:rsidRPr="00A96E6A">
        <w:t xml:space="preserve">In the </w:t>
      </w:r>
      <w:smartTag w:uri="urn:schemas-microsoft-com:office:smarttags" w:element="country-region">
        <w:smartTag w:uri="urn:schemas-microsoft-com:office:smarttags" w:element="place">
          <w:r w:rsidRPr="00A96E6A">
            <w:t>U.S.</w:t>
          </w:r>
        </w:smartTag>
      </w:smartTag>
      <w:r w:rsidRPr="00A96E6A">
        <w:t>, signs shall read as shown below, or shall contain similar wording that meets this intent:</w:t>
      </w:r>
    </w:p>
    <w:p w14:paraId="29384B7F" w14:textId="77777777" w:rsidR="004917B8" w:rsidRDefault="004917B8" w:rsidP="004917B8">
      <w:pPr>
        <w:jc w:val="center"/>
        <w:rPr>
          <w:rFonts w:ascii="Arial" w:hAnsi="Arial" w:cs="Arial"/>
          <w:b/>
        </w:rPr>
      </w:pPr>
    </w:p>
    <w:p w14:paraId="29384B80" w14:textId="77777777" w:rsidR="004917B8" w:rsidRPr="009E1228" w:rsidRDefault="004917B8" w:rsidP="00A22396">
      <w:pPr>
        <w:ind w:left="1440"/>
        <w:jc w:val="center"/>
        <w:rPr>
          <w:rFonts w:ascii="Arial" w:hAnsi="Arial" w:cs="Arial"/>
          <w:b/>
        </w:rPr>
      </w:pPr>
      <w:r w:rsidRPr="009E1228">
        <w:rPr>
          <w:rFonts w:ascii="Arial" w:hAnsi="Arial" w:cs="Arial"/>
          <w:b/>
        </w:rPr>
        <w:t>CAUTION</w:t>
      </w:r>
    </w:p>
    <w:p w14:paraId="29384B81" w14:textId="77777777" w:rsidR="004917B8" w:rsidRPr="009E1228" w:rsidRDefault="004917B8" w:rsidP="00A22396">
      <w:pPr>
        <w:ind w:left="1440"/>
        <w:jc w:val="center"/>
        <w:rPr>
          <w:rFonts w:ascii="Arial" w:hAnsi="Arial" w:cs="Arial"/>
          <w:b/>
        </w:rPr>
      </w:pPr>
      <w:r w:rsidRPr="009E1228">
        <w:rPr>
          <w:rFonts w:ascii="Arial" w:hAnsi="Arial" w:cs="Arial"/>
          <w:b/>
        </w:rPr>
        <w:t>LEAD WORK AREA</w:t>
      </w:r>
    </w:p>
    <w:p w14:paraId="29384B82" w14:textId="77777777" w:rsidR="004917B8" w:rsidRPr="009E1228" w:rsidRDefault="004917B8" w:rsidP="00A22396">
      <w:pPr>
        <w:ind w:left="1440"/>
        <w:jc w:val="center"/>
        <w:rPr>
          <w:rFonts w:ascii="Arial" w:hAnsi="Arial" w:cs="Arial"/>
          <w:b/>
        </w:rPr>
      </w:pPr>
      <w:r w:rsidRPr="009E1228">
        <w:rPr>
          <w:rFonts w:ascii="Arial" w:hAnsi="Arial" w:cs="Arial"/>
          <w:b/>
        </w:rPr>
        <w:t>NO FOOD OR DRINK ALLOWED</w:t>
      </w:r>
    </w:p>
    <w:p w14:paraId="29384B83" w14:textId="77777777" w:rsidR="004917B8" w:rsidRDefault="004917B8" w:rsidP="00A22396">
      <w:pPr>
        <w:ind w:left="1440"/>
        <w:jc w:val="center"/>
        <w:rPr>
          <w:rFonts w:ascii="Arial" w:hAnsi="Arial" w:cs="Arial"/>
          <w:b/>
          <w:color w:val="000000"/>
        </w:rPr>
      </w:pPr>
      <w:r w:rsidRPr="009E1228">
        <w:rPr>
          <w:rFonts w:ascii="Arial" w:hAnsi="Arial" w:cs="Arial"/>
          <w:b/>
          <w:color w:val="000000"/>
        </w:rPr>
        <w:t>SAFETY GLASSES REQUIRED</w:t>
      </w:r>
    </w:p>
    <w:p w14:paraId="29384B84" w14:textId="77777777" w:rsidR="004917B8" w:rsidRPr="009E1228" w:rsidRDefault="004917B8" w:rsidP="004917B8">
      <w:pPr>
        <w:jc w:val="center"/>
        <w:rPr>
          <w:rFonts w:ascii="Arial" w:hAnsi="Arial" w:cs="Arial"/>
          <w:b/>
        </w:rPr>
      </w:pPr>
    </w:p>
    <w:p w14:paraId="29384B85" w14:textId="77777777" w:rsidR="004917B8" w:rsidRPr="002726F1" w:rsidRDefault="004917B8" w:rsidP="00A22396">
      <w:pPr>
        <w:pStyle w:val="Heading5"/>
      </w:pPr>
      <w:r w:rsidRPr="002726F1">
        <w:t xml:space="preserve">Non-U.S. sites shall provide signs that meet the intent of </w:t>
      </w:r>
      <w:r>
        <w:t>this wording in their local language.</w:t>
      </w:r>
    </w:p>
    <w:p w14:paraId="29384B86" w14:textId="77777777" w:rsidR="004917B8" w:rsidRDefault="004917B8" w:rsidP="00A22396">
      <w:pPr>
        <w:pStyle w:val="Heading4"/>
      </w:pPr>
      <w:r>
        <w:t>Use of compressed air, dry sweeping or any other methods that could cause lead particulate to become airborne is prohibited.</w:t>
      </w:r>
    </w:p>
    <w:p w14:paraId="29384B87" w14:textId="77777777" w:rsidR="004917B8" w:rsidRDefault="004917B8" w:rsidP="00A22396">
      <w:pPr>
        <w:pStyle w:val="Heading4"/>
      </w:pPr>
      <w:r>
        <w:t>Where vacuuming methods are selected, high efficiency particulate air (HEPA) vacuums shall be used and emptied in a manner that minimizes the reentry of lead-containing solder material into the workplace.</w:t>
      </w:r>
    </w:p>
    <w:p w14:paraId="29384B88" w14:textId="77777777" w:rsidR="004917B8" w:rsidRPr="00C2230F" w:rsidRDefault="004917B8" w:rsidP="00A22396">
      <w:pPr>
        <w:pStyle w:val="Heading4"/>
      </w:pPr>
      <w:r>
        <w:t>Cleaning methods using brushes or abrasive pads shall be performed using wet methods.</w:t>
      </w:r>
    </w:p>
    <w:p w14:paraId="29384B89" w14:textId="77777777" w:rsidR="004917B8" w:rsidRDefault="004917B8" w:rsidP="00672D5A">
      <w:pPr>
        <w:pStyle w:val="Heading3"/>
      </w:pPr>
      <w:r>
        <w:t xml:space="preserve">Exposure Monitoring </w:t>
      </w:r>
    </w:p>
    <w:p w14:paraId="29384B8A" w14:textId="7103E48F" w:rsidR="004917B8" w:rsidRDefault="004917B8" w:rsidP="00A22396">
      <w:pPr>
        <w:pStyle w:val="Heading4"/>
      </w:pPr>
      <w:r>
        <w:t xml:space="preserve">If personal air monitoring reveals employee exposure at or above the occupational exposure limit (OEL) for lead (see ESH Specification 03.01D Appendix A: </w:t>
      </w:r>
      <w:r w:rsidRPr="004917B8">
        <w:rPr>
          <w:rFonts w:cs="Times New Roman"/>
        </w:rPr>
        <w:t>TI Occupational Exposure Limits</w:t>
      </w:r>
      <w:r>
        <w:t xml:space="preserve">), monitoring shall be repeated at least quarterly until 2 consecutive full shift samples </w:t>
      </w:r>
      <w:r w:rsidR="00E21CF6">
        <w:t xml:space="preserve">are below the action level.  The gap between the 2 consecutive samples taken must be at least one week (7 days) apart from each sample </w:t>
      </w:r>
      <w:r>
        <w:t>, or</w:t>
      </w:r>
    </w:p>
    <w:p w14:paraId="29384B8B" w14:textId="17552174" w:rsidR="004917B8" w:rsidRDefault="004917B8" w:rsidP="00A22396">
      <w:pPr>
        <w:pStyle w:val="Heading4"/>
      </w:pPr>
      <w:r>
        <w:lastRenderedPageBreak/>
        <w:t xml:space="preserve">If monitoring reveals </w:t>
      </w:r>
      <w:bookmarkStart w:id="26" w:name="_Toc120957715"/>
      <w:r w:rsidRPr="0015132A">
        <w:t xml:space="preserve">exposure below the </w:t>
      </w:r>
      <w:r>
        <w:t>OEL</w:t>
      </w:r>
      <w:r w:rsidRPr="0015132A">
        <w:t>, but at or above the</w:t>
      </w:r>
      <w:r>
        <w:t xml:space="preserve"> a</w:t>
      </w:r>
      <w:r w:rsidRPr="0015132A">
        <w:t xml:space="preserve">ction </w:t>
      </w:r>
      <w:r>
        <w:t>l</w:t>
      </w:r>
      <w:r w:rsidRPr="0015132A">
        <w:t>evel</w:t>
      </w:r>
      <w:r>
        <w:t xml:space="preserve"> (AL) for lead (25 micrograms per cubic meter)</w:t>
      </w:r>
      <w:r w:rsidRPr="0015132A">
        <w:t>,</w:t>
      </w:r>
      <w:bookmarkEnd w:id="26"/>
      <w:r w:rsidRPr="0015132A">
        <w:t xml:space="preserve"> </w:t>
      </w:r>
      <w:r>
        <w:t xml:space="preserve">full shift </w:t>
      </w:r>
      <w:r w:rsidRPr="0015132A">
        <w:t xml:space="preserve">monitoring shall be repeated at least every 6 months until 2 consecutive samples </w:t>
      </w:r>
      <w:r w:rsidR="00E21CF6">
        <w:t>are below the action level.  The gap between the 2 consecutive samples taken must be at least one week (7 days) apart from each sample</w:t>
      </w:r>
      <w:r w:rsidR="00E21CF6" w:rsidRPr="0015132A" w:rsidDel="00E21CF6">
        <w:t xml:space="preserve"> </w:t>
      </w:r>
      <w:r w:rsidRPr="0015132A">
        <w:t xml:space="preserve">.   </w:t>
      </w:r>
    </w:p>
    <w:p w14:paraId="29384B8C" w14:textId="77777777" w:rsidR="004917B8" w:rsidRDefault="004917B8" w:rsidP="00A22396">
      <w:pPr>
        <w:pStyle w:val="Heading4"/>
      </w:pPr>
      <w:r>
        <w:t xml:space="preserve">If monitoring reveals </w:t>
      </w:r>
      <w:bookmarkStart w:id="27" w:name="_Toc120957716"/>
      <w:r w:rsidRPr="001D4D02">
        <w:t xml:space="preserve">exposure below the </w:t>
      </w:r>
      <w:smartTag w:uri="urn:schemas-microsoft-com:office:smarttags" w:element="State">
        <w:smartTag w:uri="urn:schemas-microsoft-com:office:smarttags" w:element="place">
          <w:r>
            <w:t>AL</w:t>
          </w:r>
        </w:smartTag>
      </w:smartTag>
      <w:r w:rsidRPr="001D4D02">
        <w:t xml:space="preserve">, </w:t>
      </w:r>
      <w:r>
        <w:t xml:space="preserve">full shift </w:t>
      </w:r>
      <w:r w:rsidRPr="001D4D02">
        <w:t>re-testing shall only be</w:t>
      </w:r>
      <w:bookmarkEnd w:id="27"/>
      <w:r>
        <w:t xml:space="preserve"> required when processes, equipment or other material changes occur which may impact employee exposure.</w:t>
      </w:r>
    </w:p>
    <w:p w14:paraId="29384B8D" w14:textId="77777777" w:rsidR="004917B8" w:rsidRPr="0056047B" w:rsidRDefault="004917B8" w:rsidP="00672D5A">
      <w:pPr>
        <w:pStyle w:val="Heading3"/>
      </w:pPr>
      <w:r w:rsidRPr="0056047B">
        <w:t>Provisions for Surface Wipe Testing</w:t>
      </w:r>
    </w:p>
    <w:p w14:paraId="29384B8E" w14:textId="77777777" w:rsidR="004917B8" w:rsidRDefault="004917B8" w:rsidP="00A22396">
      <w:pPr>
        <w:pStyle w:val="Heading4"/>
      </w:pPr>
      <w:r w:rsidRPr="0056047B">
        <w:t xml:space="preserve">Wipe samples shall be collected at least annually </w:t>
      </w:r>
      <w:r>
        <w:t xml:space="preserve">on the SEG using the same housekeeping procedures to ensure </w:t>
      </w:r>
      <w:r w:rsidRPr="0056047B">
        <w:t xml:space="preserve">the effectiveness of housekeeping practices.  </w:t>
      </w:r>
    </w:p>
    <w:p w14:paraId="29384B8F" w14:textId="77777777" w:rsidR="004917B8" w:rsidRPr="0056047B" w:rsidRDefault="004917B8" w:rsidP="00A22396">
      <w:pPr>
        <w:pStyle w:val="Heading4"/>
      </w:pPr>
      <w:r w:rsidRPr="0056047B">
        <w:t xml:space="preserve">If wipe testing results do not confirm the effectiveness of housekeeping practices, the </w:t>
      </w:r>
      <w:r>
        <w:t xml:space="preserve">housekeeping </w:t>
      </w:r>
      <w:r w:rsidRPr="0056047B">
        <w:t xml:space="preserve">practices shall be reviewed and modified as appropriate. </w:t>
      </w:r>
    </w:p>
    <w:p w14:paraId="29384B90" w14:textId="77777777" w:rsidR="004917B8" w:rsidRDefault="004917B8" w:rsidP="00672D5A">
      <w:pPr>
        <w:pStyle w:val="Heading3"/>
      </w:pPr>
      <w:bookmarkStart w:id="28" w:name="_Toc42416396"/>
      <w:bookmarkStart w:id="29" w:name="_Toc42431337"/>
      <w:bookmarkEnd w:id="28"/>
      <w:bookmarkEnd w:id="29"/>
      <w:r w:rsidRPr="009B5828">
        <w:t xml:space="preserve">Medical </w:t>
      </w:r>
      <w:r w:rsidRPr="00C0200F">
        <w:t>Surveillance</w:t>
      </w:r>
    </w:p>
    <w:p w14:paraId="6E74C7B3" w14:textId="6FEF8E94" w:rsidR="007E25FC" w:rsidRPr="007E25FC" w:rsidRDefault="004917B8" w:rsidP="003D1601">
      <w:pPr>
        <w:pStyle w:val="Heading4"/>
      </w:pPr>
      <w:r>
        <w:t xml:space="preserve">Notify </w:t>
      </w:r>
      <w:r w:rsidR="0058279A">
        <w:t>the local</w:t>
      </w:r>
      <w:r w:rsidR="0058279A" w:rsidRPr="00C53AB8">
        <w:t xml:space="preserve"> occupational health personnel</w:t>
      </w:r>
      <w:r w:rsidR="0058279A">
        <w:t xml:space="preserve">, the </w:t>
      </w:r>
      <w:r w:rsidR="008F1E35">
        <w:t xml:space="preserve">WWESH </w:t>
      </w:r>
      <w:r w:rsidR="0058279A">
        <w:t xml:space="preserve">Medical Surveillance Program </w:t>
      </w:r>
      <w:r w:rsidR="00B65C9C">
        <w:t>Administrator</w:t>
      </w:r>
      <w:r w:rsidR="0058279A">
        <w:t xml:space="preserve"> and the TI Medical Director</w:t>
      </w:r>
      <w:r w:rsidR="0058279A" w:rsidDel="0058279A">
        <w:t xml:space="preserve"> </w:t>
      </w:r>
      <w:r>
        <w:t>when an employee’s representative exposure is above the AL or OEL for lead.</w:t>
      </w:r>
      <w:r w:rsidR="00914091">
        <w:t xml:space="preserve"> Notification shall be made to </w:t>
      </w:r>
      <w:hyperlink r:id="rId11" w:history="1">
        <w:r w:rsidR="00914091">
          <w:rPr>
            <w:rStyle w:val="Hyperlink"/>
          </w:rPr>
          <w:t>medicalsurveillance@list.ti.com</w:t>
        </w:r>
      </w:hyperlink>
      <w:r w:rsidR="00914091">
        <w:t xml:space="preserve"> </w:t>
      </w:r>
      <w:r w:rsidR="00DD217D">
        <w:t>with</w:t>
      </w:r>
      <w:r w:rsidR="00914091">
        <w:t>in 2 working days from receipt of the results.</w:t>
      </w:r>
    </w:p>
    <w:p w14:paraId="29384B92" w14:textId="77777777" w:rsidR="00C0200F" w:rsidRPr="000F2AA9" w:rsidRDefault="00C0200F" w:rsidP="00E2129C">
      <w:pPr>
        <w:pStyle w:val="Heading2"/>
      </w:pPr>
      <w:bookmarkStart w:id="30" w:name="_Toc145490841"/>
      <w:bookmarkStart w:id="31" w:name="_Toc335034665"/>
      <w:r w:rsidRPr="000F2AA9">
        <w:t>Training</w:t>
      </w:r>
      <w:bookmarkEnd w:id="30"/>
      <w:bookmarkEnd w:id="31"/>
    </w:p>
    <w:p w14:paraId="29384B93" w14:textId="77777777" w:rsidR="00C0200F" w:rsidRDefault="00C0200F" w:rsidP="00672D5A">
      <w:pPr>
        <w:pStyle w:val="Heading3"/>
      </w:pPr>
      <w:r w:rsidRPr="00E57FFA">
        <w:t xml:space="preserve">Employees </w:t>
      </w:r>
      <w:r>
        <w:t>who work</w:t>
      </w:r>
      <w:r w:rsidRPr="00E57FFA">
        <w:t xml:space="preserve"> with lead-containing solder </w:t>
      </w:r>
      <w:r>
        <w:t xml:space="preserve">shall receive </w:t>
      </w:r>
      <w:r w:rsidRPr="00E57FFA">
        <w:t>lead awareness training</w:t>
      </w:r>
      <w:r>
        <w:t xml:space="preserve">.  The training shall be provided before </w:t>
      </w:r>
      <w:r w:rsidRPr="00E57FFA">
        <w:t xml:space="preserve">initial assignment and </w:t>
      </w:r>
      <w:r>
        <w:t xml:space="preserve">a </w:t>
      </w:r>
      <w:r w:rsidRPr="00E57FFA">
        <w:t xml:space="preserve">refresher training </w:t>
      </w:r>
      <w:r>
        <w:t xml:space="preserve">course shall be provided </w:t>
      </w:r>
      <w:r w:rsidRPr="00E57FFA">
        <w:t xml:space="preserve">every 36 months. </w:t>
      </w:r>
    </w:p>
    <w:p w14:paraId="29384B94" w14:textId="77777777" w:rsidR="00C0200F" w:rsidRPr="00C0200F" w:rsidRDefault="00C0200F" w:rsidP="00A22396">
      <w:pPr>
        <w:spacing w:before="240"/>
        <w:ind w:left="1620"/>
        <w:rPr>
          <w:rFonts w:ascii="Arial" w:hAnsi="Arial" w:cs="Arial"/>
        </w:rPr>
      </w:pPr>
      <w:r w:rsidRPr="00C0200F">
        <w:rPr>
          <w:rFonts w:ascii="Arial" w:hAnsi="Arial" w:cs="Arial"/>
        </w:rPr>
        <w:t>Note:  Training may be accomplished by inclusion in Hazard Communication Training or other equally effective means.</w:t>
      </w:r>
    </w:p>
    <w:p w14:paraId="29384B95" w14:textId="77777777" w:rsidR="00C0200F" w:rsidRPr="00E57FFA" w:rsidRDefault="00C0200F" w:rsidP="00672D5A">
      <w:pPr>
        <w:pStyle w:val="Heading3"/>
      </w:pPr>
      <w:r>
        <w:t xml:space="preserve">Employees whose exposure to lead is determined to be above the </w:t>
      </w:r>
      <w:smartTag w:uri="urn:schemas-microsoft-com:office:smarttags" w:element="State">
        <w:r>
          <w:t>AL</w:t>
        </w:r>
      </w:smartTag>
      <w:r>
        <w:t xml:space="preserve"> shall receive training on an annual basis until such time as the exposure is reassessed to be below the </w:t>
      </w:r>
      <w:smartTag w:uri="urn:schemas-microsoft-com:office:smarttags" w:element="place">
        <w:smartTag w:uri="urn:schemas-microsoft-com:office:smarttags" w:element="State">
          <w:r>
            <w:t>AL</w:t>
          </w:r>
        </w:smartTag>
      </w:smartTag>
      <w:r>
        <w:t>.</w:t>
      </w:r>
    </w:p>
    <w:p w14:paraId="29384B96" w14:textId="77777777" w:rsidR="00C0200F" w:rsidRPr="00E04575" w:rsidRDefault="00C0200F" w:rsidP="00E2129C">
      <w:pPr>
        <w:pStyle w:val="Heading2"/>
      </w:pPr>
      <w:bookmarkStart w:id="32" w:name="_Toc123390615"/>
      <w:bookmarkStart w:id="33" w:name="_Toc145490842"/>
      <w:bookmarkStart w:id="34" w:name="_Toc335034666"/>
      <w:r>
        <w:t>Recordkeeping</w:t>
      </w:r>
      <w:bookmarkEnd w:id="32"/>
      <w:bookmarkEnd w:id="33"/>
      <w:bookmarkEnd w:id="34"/>
    </w:p>
    <w:p w14:paraId="29384B97" w14:textId="77777777" w:rsidR="00C0200F" w:rsidRDefault="00C0200F" w:rsidP="00672D5A">
      <w:pPr>
        <w:pStyle w:val="Heading3"/>
      </w:pPr>
      <w:r>
        <w:t>Monitoring records shall be in accordance with TI ESH Specification 03.01D: “</w:t>
      </w:r>
      <w:r w:rsidRPr="00630B7A">
        <w:rPr>
          <w:rFonts w:cs="Times New Roman"/>
        </w:rPr>
        <w:t xml:space="preserve">Chemical </w:t>
      </w:r>
      <w:r w:rsidR="009F1937" w:rsidRPr="00630B7A">
        <w:rPr>
          <w:rFonts w:cs="Times New Roman"/>
        </w:rPr>
        <w:t>Exposure Assessment</w:t>
      </w:r>
      <w:r>
        <w:t xml:space="preserve">” and shall be maintained in accordance </w:t>
      </w:r>
      <w:r w:rsidR="00630B7A">
        <w:t xml:space="preserve">with TI ESHMS 4.5.4 “Records Management”. </w:t>
      </w:r>
    </w:p>
    <w:p w14:paraId="29384B98" w14:textId="77777777" w:rsidR="00C0200F" w:rsidRDefault="00C0200F" w:rsidP="00672D5A">
      <w:pPr>
        <w:pStyle w:val="Heading3"/>
      </w:pPr>
      <w:r w:rsidRPr="00CC7E5E">
        <w:t xml:space="preserve">In the US, monitoring records </w:t>
      </w:r>
      <w:r>
        <w:t xml:space="preserve">for lead </w:t>
      </w:r>
      <w:r w:rsidRPr="00CC7E5E">
        <w:t xml:space="preserve">shall be maintained for at least 40 years or for the duration of employment plus 20 years, whichever is longer. </w:t>
      </w:r>
      <w:r>
        <w:t xml:space="preserve"> </w:t>
      </w:r>
    </w:p>
    <w:p w14:paraId="29384B99" w14:textId="77777777" w:rsidR="007876AE" w:rsidRDefault="007876AE">
      <w:pPr>
        <w:pStyle w:val="Heading1"/>
      </w:pPr>
      <w:bookmarkStart w:id="35" w:name="_Toc310406362"/>
      <w:bookmarkStart w:id="36" w:name="_Toc310781425"/>
      <w:bookmarkStart w:id="37" w:name="_Toc310923211"/>
      <w:bookmarkStart w:id="38" w:name="_Toc310923290"/>
      <w:bookmarkStart w:id="39" w:name="_Toc310923371"/>
      <w:bookmarkStart w:id="40" w:name="_Toc310406363"/>
      <w:bookmarkStart w:id="41" w:name="_Toc310781426"/>
      <w:bookmarkStart w:id="42" w:name="_Toc310923212"/>
      <w:bookmarkStart w:id="43" w:name="_Toc310923291"/>
      <w:bookmarkStart w:id="44" w:name="_Toc310923372"/>
      <w:bookmarkStart w:id="45" w:name="_Toc310406364"/>
      <w:bookmarkStart w:id="46" w:name="_Toc310781427"/>
      <w:bookmarkStart w:id="47" w:name="_Toc310923213"/>
      <w:bookmarkStart w:id="48" w:name="_Toc310923292"/>
      <w:bookmarkStart w:id="49" w:name="_Toc310923373"/>
      <w:bookmarkStart w:id="50" w:name="_Toc310406365"/>
      <w:bookmarkStart w:id="51" w:name="_Toc310781428"/>
      <w:bookmarkStart w:id="52" w:name="_Toc310923214"/>
      <w:bookmarkStart w:id="53" w:name="_Toc310923293"/>
      <w:bookmarkStart w:id="54" w:name="_Toc310923374"/>
      <w:bookmarkStart w:id="55" w:name="_Toc310406366"/>
      <w:bookmarkStart w:id="56" w:name="_Toc310781429"/>
      <w:bookmarkStart w:id="57" w:name="_Toc310923215"/>
      <w:bookmarkStart w:id="58" w:name="_Toc310923294"/>
      <w:bookmarkStart w:id="59" w:name="_Toc310923375"/>
      <w:bookmarkStart w:id="60" w:name="_Toc310406367"/>
      <w:bookmarkStart w:id="61" w:name="_Toc310781430"/>
      <w:bookmarkStart w:id="62" w:name="_Toc310923216"/>
      <w:bookmarkStart w:id="63" w:name="_Toc310923295"/>
      <w:bookmarkStart w:id="64" w:name="_Toc310923376"/>
      <w:bookmarkStart w:id="65" w:name="_Toc310406368"/>
      <w:bookmarkStart w:id="66" w:name="_Toc310781431"/>
      <w:bookmarkStart w:id="67" w:name="_Toc310923217"/>
      <w:bookmarkStart w:id="68" w:name="_Toc310923296"/>
      <w:bookmarkStart w:id="69" w:name="_Toc310923377"/>
      <w:bookmarkStart w:id="70" w:name="_Toc310406369"/>
      <w:bookmarkStart w:id="71" w:name="_Toc310781432"/>
      <w:bookmarkStart w:id="72" w:name="_Toc310923218"/>
      <w:bookmarkStart w:id="73" w:name="_Toc310923297"/>
      <w:bookmarkStart w:id="74" w:name="_Toc310923378"/>
      <w:bookmarkStart w:id="75" w:name="_Toc310406370"/>
      <w:bookmarkStart w:id="76" w:name="_Toc310781433"/>
      <w:bookmarkStart w:id="77" w:name="_Toc310923219"/>
      <w:bookmarkStart w:id="78" w:name="_Toc310923298"/>
      <w:bookmarkStart w:id="79" w:name="_Toc310923379"/>
      <w:bookmarkStart w:id="80" w:name="_Toc310406371"/>
      <w:bookmarkStart w:id="81" w:name="_Toc310781434"/>
      <w:bookmarkStart w:id="82" w:name="_Toc310923220"/>
      <w:bookmarkStart w:id="83" w:name="_Toc310923299"/>
      <w:bookmarkStart w:id="84" w:name="_Toc310923380"/>
      <w:bookmarkStart w:id="85" w:name="_Toc310406372"/>
      <w:bookmarkStart w:id="86" w:name="_Toc310781435"/>
      <w:bookmarkStart w:id="87" w:name="_Toc310923221"/>
      <w:bookmarkStart w:id="88" w:name="_Toc310923300"/>
      <w:bookmarkStart w:id="89" w:name="_Toc310923381"/>
      <w:bookmarkStart w:id="90" w:name="_Toc310406373"/>
      <w:bookmarkStart w:id="91" w:name="_Toc310781436"/>
      <w:bookmarkStart w:id="92" w:name="_Toc310923222"/>
      <w:bookmarkStart w:id="93" w:name="_Toc310923301"/>
      <w:bookmarkStart w:id="94" w:name="_Toc310923382"/>
      <w:bookmarkStart w:id="95" w:name="_Toc310406374"/>
      <w:bookmarkStart w:id="96" w:name="_Toc310781437"/>
      <w:bookmarkStart w:id="97" w:name="_Toc310923223"/>
      <w:bookmarkStart w:id="98" w:name="_Toc310923302"/>
      <w:bookmarkStart w:id="99" w:name="_Toc310923383"/>
      <w:bookmarkStart w:id="100" w:name="_Toc310406375"/>
      <w:bookmarkStart w:id="101" w:name="_Toc310781438"/>
      <w:bookmarkStart w:id="102" w:name="_Toc310923224"/>
      <w:bookmarkStart w:id="103" w:name="_Toc310923303"/>
      <w:bookmarkStart w:id="104" w:name="_Toc310923384"/>
      <w:bookmarkStart w:id="105" w:name="_Toc310406376"/>
      <w:bookmarkStart w:id="106" w:name="_Toc310781439"/>
      <w:bookmarkStart w:id="107" w:name="_Toc310923225"/>
      <w:bookmarkStart w:id="108" w:name="_Toc310923304"/>
      <w:bookmarkStart w:id="109" w:name="_Toc310923385"/>
      <w:bookmarkStart w:id="110" w:name="_Toc310406377"/>
      <w:bookmarkStart w:id="111" w:name="_Toc310781440"/>
      <w:bookmarkStart w:id="112" w:name="_Toc310923226"/>
      <w:bookmarkStart w:id="113" w:name="_Toc310923305"/>
      <w:bookmarkStart w:id="114" w:name="_Toc310923386"/>
      <w:bookmarkStart w:id="115" w:name="_Toc310406378"/>
      <w:bookmarkStart w:id="116" w:name="_Toc310781441"/>
      <w:bookmarkStart w:id="117" w:name="_Toc310923227"/>
      <w:bookmarkStart w:id="118" w:name="_Toc310923306"/>
      <w:bookmarkStart w:id="119" w:name="_Toc310923387"/>
      <w:bookmarkStart w:id="120" w:name="_Toc310406379"/>
      <w:bookmarkStart w:id="121" w:name="_Toc310781442"/>
      <w:bookmarkStart w:id="122" w:name="_Toc310923228"/>
      <w:bookmarkStart w:id="123" w:name="_Toc310923307"/>
      <w:bookmarkStart w:id="124" w:name="_Toc310923388"/>
      <w:bookmarkStart w:id="125" w:name="_Toc310406380"/>
      <w:bookmarkStart w:id="126" w:name="_Toc310781443"/>
      <w:bookmarkStart w:id="127" w:name="_Toc310923229"/>
      <w:bookmarkStart w:id="128" w:name="_Toc310923308"/>
      <w:bookmarkStart w:id="129" w:name="_Toc310923389"/>
      <w:bookmarkStart w:id="130" w:name="_Toc310406381"/>
      <w:bookmarkStart w:id="131" w:name="_Toc310781444"/>
      <w:bookmarkStart w:id="132" w:name="_Toc310923230"/>
      <w:bookmarkStart w:id="133" w:name="_Toc310923309"/>
      <w:bookmarkStart w:id="134" w:name="_Toc310923390"/>
      <w:bookmarkStart w:id="135" w:name="_Toc310406382"/>
      <w:bookmarkStart w:id="136" w:name="_Toc310781445"/>
      <w:bookmarkStart w:id="137" w:name="_Toc310923231"/>
      <w:bookmarkStart w:id="138" w:name="_Toc310923310"/>
      <w:bookmarkStart w:id="139" w:name="_Toc310923391"/>
      <w:bookmarkStart w:id="140" w:name="_Toc310406383"/>
      <w:bookmarkStart w:id="141" w:name="_Toc310781446"/>
      <w:bookmarkStart w:id="142" w:name="_Toc310923232"/>
      <w:bookmarkStart w:id="143" w:name="_Toc310923311"/>
      <w:bookmarkStart w:id="144" w:name="_Toc310923392"/>
      <w:bookmarkStart w:id="145" w:name="_Toc310406384"/>
      <w:bookmarkStart w:id="146" w:name="_Toc310781447"/>
      <w:bookmarkStart w:id="147" w:name="_Toc310923233"/>
      <w:bookmarkStart w:id="148" w:name="_Toc310923312"/>
      <w:bookmarkStart w:id="149" w:name="_Toc310923393"/>
      <w:bookmarkStart w:id="150" w:name="_Toc310406385"/>
      <w:bookmarkStart w:id="151" w:name="_Toc310781448"/>
      <w:bookmarkStart w:id="152" w:name="_Toc310923234"/>
      <w:bookmarkStart w:id="153" w:name="_Toc310923313"/>
      <w:bookmarkStart w:id="154" w:name="_Toc310923394"/>
      <w:bookmarkStart w:id="155" w:name="_Toc524336029"/>
      <w:bookmarkStart w:id="156" w:name="_Toc524336236"/>
      <w:bookmarkStart w:id="157" w:name="_Toc524347347"/>
      <w:bookmarkStart w:id="158" w:name="_Toc310781449"/>
      <w:bookmarkStart w:id="159" w:name="_Toc335034667"/>
      <w:bookmarkEnd w:id="2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STANDARD Approval</w:t>
      </w:r>
      <w:bookmarkEnd w:id="155"/>
      <w:bookmarkEnd w:id="156"/>
      <w:bookmarkEnd w:id="157"/>
      <w:bookmarkEnd w:id="158"/>
      <w:bookmarkEnd w:id="159"/>
    </w:p>
    <w:p w14:paraId="29384B9A" w14:textId="22DEB637" w:rsidR="007876AE" w:rsidRPr="00630B7A" w:rsidRDefault="007876AE">
      <w:pPr>
        <w:pStyle w:val="BodyTextIndent"/>
        <w:rPr>
          <w:rFonts w:ascii="Arial" w:hAnsi="Arial" w:cs="Arial"/>
        </w:rPr>
      </w:pPr>
      <w:r w:rsidRPr="00630B7A">
        <w:rPr>
          <w:rFonts w:ascii="Arial" w:hAnsi="Arial" w:cs="Arial"/>
        </w:rPr>
        <w:t xml:space="preserve">This standard has been approved by </w:t>
      </w:r>
      <w:r w:rsidR="00240E83">
        <w:rPr>
          <w:rFonts w:ascii="Arial" w:hAnsi="Arial" w:cs="Arial"/>
        </w:rPr>
        <w:t>Zane Broadhead</w:t>
      </w:r>
      <w:r w:rsidRPr="00630B7A">
        <w:rPr>
          <w:rFonts w:ascii="Arial" w:hAnsi="Arial" w:cs="Arial"/>
        </w:rPr>
        <w:t>, TI Vice President.</w:t>
      </w:r>
    </w:p>
    <w:p w14:paraId="29384B9B" w14:textId="77777777" w:rsidR="007876AE" w:rsidRDefault="007876AE">
      <w:pPr>
        <w:pStyle w:val="Heading1"/>
      </w:pPr>
      <w:bookmarkStart w:id="160" w:name="_Toc309109909"/>
      <w:bookmarkStart w:id="161" w:name="_Toc309109947"/>
      <w:bookmarkStart w:id="162" w:name="_Toc309110041"/>
      <w:bookmarkStart w:id="163" w:name="_Toc309109910"/>
      <w:bookmarkStart w:id="164" w:name="_Toc309109948"/>
      <w:bookmarkStart w:id="165" w:name="_Toc309110042"/>
      <w:bookmarkStart w:id="166" w:name="_Toc309109911"/>
      <w:bookmarkStart w:id="167" w:name="_Toc309109949"/>
      <w:bookmarkStart w:id="168" w:name="_Toc309110043"/>
      <w:bookmarkStart w:id="169" w:name="_Toc305926574"/>
      <w:bookmarkStart w:id="170" w:name="_Toc306000479"/>
      <w:bookmarkStart w:id="171" w:name="_Toc306190864"/>
      <w:bookmarkStart w:id="172" w:name="_Toc306254602"/>
      <w:bookmarkStart w:id="173" w:name="_Toc308588209"/>
      <w:bookmarkStart w:id="174" w:name="_Toc308588243"/>
      <w:bookmarkStart w:id="175" w:name="_Toc309109912"/>
      <w:bookmarkStart w:id="176" w:name="_Toc309109950"/>
      <w:bookmarkStart w:id="177" w:name="_Toc309110044"/>
      <w:bookmarkStart w:id="178" w:name="_Toc305926575"/>
      <w:bookmarkStart w:id="179" w:name="_Toc306000480"/>
      <w:bookmarkStart w:id="180" w:name="_Toc306190865"/>
      <w:bookmarkStart w:id="181" w:name="_Toc306254603"/>
      <w:bookmarkStart w:id="182" w:name="_Toc308588210"/>
      <w:bookmarkStart w:id="183" w:name="_Toc308588244"/>
      <w:bookmarkStart w:id="184" w:name="_Toc309109913"/>
      <w:bookmarkStart w:id="185" w:name="_Toc309109951"/>
      <w:bookmarkStart w:id="186" w:name="_Toc309110045"/>
      <w:bookmarkStart w:id="187" w:name="_Toc309214578"/>
      <w:bookmarkStart w:id="188" w:name="_Toc309218857"/>
      <w:bookmarkStart w:id="189" w:name="_Toc309219209"/>
      <w:bookmarkStart w:id="190" w:name="_Toc309279217"/>
      <w:bookmarkStart w:id="191" w:name="_Toc309279471"/>
      <w:bookmarkStart w:id="192" w:name="_Toc310406387"/>
      <w:bookmarkStart w:id="193" w:name="_Toc310781450"/>
      <w:bookmarkStart w:id="194" w:name="_Toc310923236"/>
      <w:bookmarkStart w:id="195" w:name="_Toc310923315"/>
      <w:bookmarkStart w:id="196" w:name="_Toc310923396"/>
      <w:bookmarkStart w:id="197" w:name="_Toc310781451"/>
      <w:bookmarkStart w:id="198" w:name="_Toc33503466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lastRenderedPageBreak/>
        <w:t>Revision history</w:t>
      </w:r>
      <w:bookmarkEnd w:id="197"/>
      <w:bookmarkEnd w:id="198"/>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753336" w14:paraId="29384BA1" w14:textId="77777777" w:rsidTr="00DA6132">
        <w:tc>
          <w:tcPr>
            <w:tcW w:w="990" w:type="dxa"/>
          </w:tcPr>
          <w:p w14:paraId="29384B9C" w14:textId="77777777" w:rsidR="007876AE" w:rsidRPr="00753336" w:rsidRDefault="007876AE" w:rsidP="00AF5A51">
            <w:pPr>
              <w:keepNext/>
              <w:keepLines/>
              <w:jc w:val="center"/>
              <w:rPr>
                <w:b/>
              </w:rPr>
            </w:pPr>
            <w:r w:rsidRPr="00753336">
              <w:rPr>
                <w:b/>
              </w:rPr>
              <w:t>Rev#</w:t>
            </w:r>
          </w:p>
        </w:tc>
        <w:tc>
          <w:tcPr>
            <w:tcW w:w="1456" w:type="dxa"/>
          </w:tcPr>
          <w:p w14:paraId="29384B9D" w14:textId="77777777" w:rsidR="007876AE" w:rsidRPr="00753336" w:rsidRDefault="007876AE" w:rsidP="00AF5A51">
            <w:pPr>
              <w:keepNext/>
              <w:keepLines/>
              <w:jc w:val="center"/>
              <w:rPr>
                <w:b/>
              </w:rPr>
            </w:pPr>
            <w:r w:rsidRPr="00753336">
              <w:rPr>
                <w:b/>
              </w:rPr>
              <w:t>Date</w:t>
            </w:r>
          </w:p>
        </w:tc>
        <w:tc>
          <w:tcPr>
            <w:tcW w:w="3369" w:type="dxa"/>
          </w:tcPr>
          <w:p w14:paraId="29384B9E" w14:textId="77777777" w:rsidR="007876AE" w:rsidRPr="00753336" w:rsidRDefault="007876AE" w:rsidP="00AF5A51">
            <w:pPr>
              <w:keepNext/>
              <w:keepLines/>
              <w:jc w:val="center"/>
              <w:rPr>
                <w:b/>
              </w:rPr>
            </w:pPr>
            <w:r w:rsidRPr="00753336">
              <w:rPr>
                <w:b/>
              </w:rPr>
              <w:t>Nature of Revision</w:t>
            </w:r>
          </w:p>
        </w:tc>
        <w:tc>
          <w:tcPr>
            <w:tcW w:w="1708" w:type="dxa"/>
          </w:tcPr>
          <w:p w14:paraId="29384B9F" w14:textId="77777777" w:rsidR="007876AE" w:rsidRPr="00753336" w:rsidRDefault="007876AE" w:rsidP="00AF5A51">
            <w:pPr>
              <w:keepNext/>
              <w:keepLines/>
              <w:jc w:val="center"/>
              <w:rPr>
                <w:b/>
              </w:rPr>
            </w:pPr>
            <w:r w:rsidRPr="00753336">
              <w:rPr>
                <w:b/>
              </w:rPr>
              <w:t>Author/Editor</w:t>
            </w:r>
          </w:p>
        </w:tc>
        <w:tc>
          <w:tcPr>
            <w:tcW w:w="1495" w:type="dxa"/>
          </w:tcPr>
          <w:p w14:paraId="29384BA0" w14:textId="77777777" w:rsidR="007876AE" w:rsidRPr="00753336" w:rsidRDefault="007876AE" w:rsidP="00AF5A51">
            <w:pPr>
              <w:keepNext/>
              <w:keepLines/>
              <w:jc w:val="center"/>
              <w:rPr>
                <w:b/>
              </w:rPr>
            </w:pPr>
            <w:r w:rsidRPr="00753336">
              <w:rPr>
                <w:b/>
              </w:rPr>
              <w:t>Approver</w:t>
            </w:r>
          </w:p>
        </w:tc>
      </w:tr>
      <w:tr w:rsidR="003B7EBD" w:rsidRPr="00753336" w14:paraId="29384BA7" w14:textId="77777777" w:rsidTr="00DA6132">
        <w:tc>
          <w:tcPr>
            <w:tcW w:w="990" w:type="dxa"/>
          </w:tcPr>
          <w:p w14:paraId="29384BA2" w14:textId="77777777" w:rsidR="003B7EBD" w:rsidRPr="00753336" w:rsidRDefault="003B7EBD" w:rsidP="00AF5A51">
            <w:pPr>
              <w:keepNext/>
              <w:keepLines/>
              <w:jc w:val="center"/>
            </w:pPr>
            <w:r>
              <w:t>A</w:t>
            </w:r>
          </w:p>
        </w:tc>
        <w:tc>
          <w:tcPr>
            <w:tcW w:w="1456" w:type="dxa"/>
          </w:tcPr>
          <w:p w14:paraId="29384BA3" w14:textId="77777777" w:rsidR="003B7EBD" w:rsidRDefault="003B7EBD" w:rsidP="009B63C0">
            <w:pPr>
              <w:keepNext/>
              <w:keepLines/>
              <w:jc w:val="center"/>
            </w:pPr>
            <w:r>
              <w:t>02/23/2006</w:t>
            </w:r>
          </w:p>
        </w:tc>
        <w:tc>
          <w:tcPr>
            <w:tcW w:w="3369" w:type="dxa"/>
          </w:tcPr>
          <w:p w14:paraId="29384BA4" w14:textId="77777777" w:rsidR="003B7EBD" w:rsidRDefault="003B7EBD" w:rsidP="00642B03">
            <w:pPr>
              <w:pStyle w:val="Header"/>
              <w:tabs>
                <w:tab w:val="clear" w:pos="4320"/>
                <w:tab w:val="clear" w:pos="8640"/>
              </w:tabs>
            </w:pPr>
            <w:r>
              <w:t>Original</w:t>
            </w:r>
          </w:p>
        </w:tc>
        <w:tc>
          <w:tcPr>
            <w:tcW w:w="1708" w:type="dxa"/>
          </w:tcPr>
          <w:p w14:paraId="29384BA5" w14:textId="77777777" w:rsidR="003B7EBD" w:rsidRDefault="003B7EBD" w:rsidP="00642B03">
            <w:pPr>
              <w:pStyle w:val="Header"/>
              <w:tabs>
                <w:tab w:val="clear" w:pos="4320"/>
                <w:tab w:val="clear" w:pos="8640"/>
              </w:tabs>
            </w:pPr>
            <w:r>
              <w:t>Dale Moore</w:t>
            </w:r>
          </w:p>
        </w:tc>
        <w:tc>
          <w:tcPr>
            <w:tcW w:w="1495" w:type="dxa"/>
          </w:tcPr>
          <w:p w14:paraId="29384BA6" w14:textId="77777777" w:rsidR="003B7EBD" w:rsidRPr="00753336" w:rsidRDefault="003B7EBD" w:rsidP="00AF5A51">
            <w:pPr>
              <w:keepNext/>
              <w:keepLines/>
              <w:jc w:val="center"/>
            </w:pPr>
          </w:p>
        </w:tc>
      </w:tr>
      <w:tr w:rsidR="003B7EBD" w:rsidRPr="00753336" w14:paraId="29384BAD" w14:textId="77777777" w:rsidTr="00DA6132">
        <w:tc>
          <w:tcPr>
            <w:tcW w:w="990" w:type="dxa"/>
          </w:tcPr>
          <w:p w14:paraId="29384BA8" w14:textId="77777777" w:rsidR="003B7EBD" w:rsidRPr="00753336" w:rsidRDefault="003B7EBD" w:rsidP="00AF5A51">
            <w:pPr>
              <w:keepNext/>
              <w:keepLines/>
              <w:jc w:val="center"/>
            </w:pPr>
            <w:r>
              <w:t>B</w:t>
            </w:r>
          </w:p>
        </w:tc>
        <w:tc>
          <w:tcPr>
            <w:tcW w:w="1456" w:type="dxa"/>
          </w:tcPr>
          <w:p w14:paraId="29384BA9" w14:textId="77777777" w:rsidR="003B7EBD" w:rsidRDefault="003B7EBD" w:rsidP="009B63C0">
            <w:pPr>
              <w:keepNext/>
              <w:keepLines/>
              <w:jc w:val="center"/>
            </w:pPr>
            <w:r>
              <w:t>12/01/2006</w:t>
            </w:r>
          </w:p>
        </w:tc>
        <w:tc>
          <w:tcPr>
            <w:tcW w:w="3369" w:type="dxa"/>
          </w:tcPr>
          <w:p w14:paraId="29384BAA" w14:textId="77777777" w:rsidR="003B7EBD" w:rsidRDefault="003B7EBD" w:rsidP="00642B03">
            <w:pPr>
              <w:pStyle w:val="Header"/>
              <w:tabs>
                <w:tab w:val="clear" w:pos="4320"/>
                <w:tab w:val="clear" w:pos="8640"/>
              </w:tabs>
            </w:pPr>
            <w:r>
              <w:t>Periodic review in conjunction with 2006 review of the 03.01 series of standards; elimination of 3.1.b.4; elimination of 3.1.c lines 1-2; and revision of  3.2a</w:t>
            </w:r>
          </w:p>
        </w:tc>
        <w:tc>
          <w:tcPr>
            <w:tcW w:w="1708" w:type="dxa"/>
          </w:tcPr>
          <w:p w14:paraId="29384BAB" w14:textId="77777777" w:rsidR="003B7EBD" w:rsidRDefault="003B7EBD" w:rsidP="00642B03">
            <w:r>
              <w:t>Dale Moore</w:t>
            </w:r>
          </w:p>
        </w:tc>
        <w:tc>
          <w:tcPr>
            <w:tcW w:w="1495" w:type="dxa"/>
          </w:tcPr>
          <w:p w14:paraId="29384BAC" w14:textId="77777777" w:rsidR="003B7EBD" w:rsidRPr="00753336" w:rsidRDefault="003B7EBD" w:rsidP="00AF5A51">
            <w:pPr>
              <w:keepNext/>
              <w:keepLines/>
              <w:jc w:val="center"/>
            </w:pPr>
          </w:p>
        </w:tc>
      </w:tr>
      <w:tr w:rsidR="003B7EBD" w:rsidRPr="00753336" w14:paraId="29384BB3" w14:textId="77777777" w:rsidTr="00DA6132">
        <w:tc>
          <w:tcPr>
            <w:tcW w:w="990" w:type="dxa"/>
          </w:tcPr>
          <w:p w14:paraId="29384BAE" w14:textId="77777777" w:rsidR="003B7EBD" w:rsidRDefault="003B7EBD" w:rsidP="00AF5A51">
            <w:pPr>
              <w:keepNext/>
              <w:keepLines/>
              <w:jc w:val="center"/>
            </w:pPr>
            <w:r>
              <w:t>C</w:t>
            </w:r>
          </w:p>
        </w:tc>
        <w:tc>
          <w:tcPr>
            <w:tcW w:w="1456" w:type="dxa"/>
          </w:tcPr>
          <w:p w14:paraId="29384BAF" w14:textId="77777777" w:rsidR="003B7EBD" w:rsidRDefault="003B7EBD" w:rsidP="009B63C0">
            <w:pPr>
              <w:keepNext/>
              <w:keepLines/>
              <w:jc w:val="center"/>
            </w:pPr>
            <w:r>
              <w:t>01/18/2010</w:t>
            </w:r>
          </w:p>
        </w:tc>
        <w:tc>
          <w:tcPr>
            <w:tcW w:w="3369" w:type="dxa"/>
          </w:tcPr>
          <w:p w14:paraId="29384BB0" w14:textId="77777777" w:rsidR="003B7EBD" w:rsidRDefault="003B7EBD" w:rsidP="00642B03">
            <w:pPr>
              <w:pStyle w:val="Header"/>
              <w:tabs>
                <w:tab w:val="clear" w:pos="4320"/>
                <w:tab w:val="clear" w:pos="8640"/>
              </w:tabs>
            </w:pPr>
            <w:r>
              <w:t>3.1.a.3.a - signage wording flexibility language added</w:t>
            </w:r>
          </w:p>
        </w:tc>
        <w:tc>
          <w:tcPr>
            <w:tcW w:w="1708" w:type="dxa"/>
          </w:tcPr>
          <w:p w14:paraId="29384BB1" w14:textId="77777777" w:rsidR="003B7EBD" w:rsidRDefault="003B7EBD" w:rsidP="00642B03">
            <w:r>
              <w:t xml:space="preserve">Gene </w:t>
            </w:r>
            <w:proofErr w:type="spellStart"/>
            <w:r>
              <w:t>Schaefers</w:t>
            </w:r>
            <w:proofErr w:type="spellEnd"/>
          </w:p>
        </w:tc>
        <w:tc>
          <w:tcPr>
            <w:tcW w:w="1495" w:type="dxa"/>
          </w:tcPr>
          <w:p w14:paraId="29384BB2" w14:textId="77777777" w:rsidR="003B7EBD" w:rsidRDefault="003B7EBD" w:rsidP="00AF5A51">
            <w:pPr>
              <w:keepNext/>
              <w:keepLines/>
              <w:jc w:val="center"/>
            </w:pPr>
          </w:p>
        </w:tc>
      </w:tr>
      <w:tr w:rsidR="007876AE" w:rsidRPr="00753336" w14:paraId="29384BB9" w14:textId="77777777" w:rsidTr="00DA6132">
        <w:tc>
          <w:tcPr>
            <w:tcW w:w="990" w:type="dxa"/>
          </w:tcPr>
          <w:p w14:paraId="29384BB4" w14:textId="77777777" w:rsidR="007876AE" w:rsidRDefault="003B7EBD" w:rsidP="00AF5A51">
            <w:pPr>
              <w:keepNext/>
              <w:keepLines/>
              <w:jc w:val="center"/>
            </w:pPr>
            <w:r>
              <w:t>D</w:t>
            </w:r>
          </w:p>
        </w:tc>
        <w:tc>
          <w:tcPr>
            <w:tcW w:w="1456" w:type="dxa"/>
          </w:tcPr>
          <w:p w14:paraId="29384BB5" w14:textId="77777777" w:rsidR="007876AE" w:rsidRDefault="003B7EBD" w:rsidP="00833BB0">
            <w:pPr>
              <w:keepNext/>
              <w:keepLines/>
              <w:jc w:val="center"/>
            </w:pPr>
            <w:r>
              <w:t>0</w:t>
            </w:r>
            <w:r w:rsidR="00833BB0">
              <w:t>6</w:t>
            </w:r>
            <w:r>
              <w:t>/1</w:t>
            </w:r>
            <w:r w:rsidR="00833BB0">
              <w:t>2</w:t>
            </w:r>
            <w:r>
              <w:t>/201</w:t>
            </w:r>
            <w:r w:rsidR="00833BB0">
              <w:t>3</w:t>
            </w:r>
          </w:p>
        </w:tc>
        <w:tc>
          <w:tcPr>
            <w:tcW w:w="3369" w:type="dxa"/>
          </w:tcPr>
          <w:p w14:paraId="29384BB6" w14:textId="77777777" w:rsidR="007876AE" w:rsidRDefault="003B7EBD" w:rsidP="00675200">
            <w:pPr>
              <w:keepNext/>
              <w:keepLines/>
            </w:pPr>
            <w:r>
              <w:t>Document reformatted</w:t>
            </w:r>
          </w:p>
        </w:tc>
        <w:tc>
          <w:tcPr>
            <w:tcW w:w="1708" w:type="dxa"/>
          </w:tcPr>
          <w:p w14:paraId="29384BB7" w14:textId="77777777" w:rsidR="007876AE" w:rsidRDefault="00DE091A" w:rsidP="00AF5A51">
            <w:pPr>
              <w:keepNext/>
              <w:keepLines/>
              <w:jc w:val="center"/>
            </w:pPr>
            <w:r>
              <w:t>Mike Alton</w:t>
            </w:r>
          </w:p>
        </w:tc>
        <w:tc>
          <w:tcPr>
            <w:tcW w:w="1495" w:type="dxa"/>
          </w:tcPr>
          <w:p w14:paraId="29384BB8" w14:textId="77777777" w:rsidR="007876AE" w:rsidRDefault="00833BB0" w:rsidP="00AF5A51">
            <w:pPr>
              <w:keepNext/>
              <w:keepLines/>
              <w:jc w:val="center"/>
            </w:pPr>
            <w:r>
              <w:t>ELC</w:t>
            </w:r>
          </w:p>
        </w:tc>
      </w:tr>
      <w:tr w:rsidR="007876AE" w:rsidRPr="00753336" w14:paraId="29384BBF" w14:textId="77777777" w:rsidTr="00DA6132">
        <w:tc>
          <w:tcPr>
            <w:tcW w:w="990" w:type="dxa"/>
          </w:tcPr>
          <w:p w14:paraId="29384BBA" w14:textId="77777777" w:rsidR="007876AE" w:rsidRDefault="005E50A1" w:rsidP="00AF5A51">
            <w:pPr>
              <w:keepNext/>
              <w:keepLines/>
              <w:jc w:val="center"/>
            </w:pPr>
            <w:r>
              <w:t>E</w:t>
            </w:r>
          </w:p>
        </w:tc>
        <w:tc>
          <w:tcPr>
            <w:tcW w:w="1456" w:type="dxa"/>
          </w:tcPr>
          <w:p w14:paraId="29384BBB" w14:textId="77777777" w:rsidR="007876AE" w:rsidRDefault="005E50A1" w:rsidP="00AF5A51">
            <w:pPr>
              <w:keepNext/>
              <w:keepLines/>
              <w:jc w:val="center"/>
            </w:pPr>
            <w:r>
              <w:t>11/11/2016</w:t>
            </w:r>
          </w:p>
        </w:tc>
        <w:tc>
          <w:tcPr>
            <w:tcW w:w="3369" w:type="dxa"/>
          </w:tcPr>
          <w:p w14:paraId="29384BBC" w14:textId="77777777" w:rsidR="007876AE" w:rsidRDefault="005E50A1" w:rsidP="00675200">
            <w:pPr>
              <w:keepNext/>
              <w:keepLines/>
            </w:pPr>
            <w:r>
              <w:t>Prohibit butane soldering irons; changed verbiage for clarification.</w:t>
            </w:r>
          </w:p>
        </w:tc>
        <w:tc>
          <w:tcPr>
            <w:tcW w:w="1708" w:type="dxa"/>
          </w:tcPr>
          <w:p w14:paraId="29384BBD" w14:textId="77777777" w:rsidR="007876AE" w:rsidRDefault="005E50A1" w:rsidP="00F44729">
            <w:pPr>
              <w:keepNext/>
              <w:keepLines/>
            </w:pPr>
            <w:r>
              <w:t>Hayden Baker</w:t>
            </w:r>
          </w:p>
        </w:tc>
        <w:tc>
          <w:tcPr>
            <w:tcW w:w="1495" w:type="dxa"/>
          </w:tcPr>
          <w:p w14:paraId="29384BBE" w14:textId="664257B5" w:rsidR="007876AE" w:rsidRDefault="00E423DC" w:rsidP="00AF5A51">
            <w:pPr>
              <w:keepNext/>
              <w:keepLines/>
              <w:jc w:val="center"/>
            </w:pPr>
            <w:r>
              <w:t>ELC</w:t>
            </w:r>
          </w:p>
        </w:tc>
      </w:tr>
      <w:tr w:rsidR="00CD211F" w14:paraId="14CAE517" w14:textId="77777777" w:rsidTr="00CD211F">
        <w:tc>
          <w:tcPr>
            <w:tcW w:w="990" w:type="dxa"/>
            <w:tcBorders>
              <w:top w:val="single" w:sz="4" w:space="0" w:color="auto"/>
              <w:left w:val="single" w:sz="4" w:space="0" w:color="auto"/>
              <w:bottom w:val="single" w:sz="4" w:space="0" w:color="auto"/>
              <w:right w:val="single" w:sz="4" w:space="0" w:color="auto"/>
            </w:tcBorders>
          </w:tcPr>
          <w:p w14:paraId="0B362F5E" w14:textId="25657A34" w:rsidR="00CD211F" w:rsidRDefault="00CD211F" w:rsidP="00CF5888">
            <w:pPr>
              <w:keepNext/>
              <w:keepLines/>
              <w:jc w:val="center"/>
            </w:pPr>
            <w:bookmarkStart w:id="199" w:name="_Toc305747576"/>
            <w:bookmarkStart w:id="200" w:name="_Toc305747577"/>
            <w:bookmarkStart w:id="201" w:name="_Toc305747578"/>
            <w:bookmarkStart w:id="202" w:name="_Toc305747579"/>
            <w:bookmarkStart w:id="203" w:name="_Toc305747580"/>
            <w:bookmarkStart w:id="204" w:name="_Toc305747581"/>
            <w:bookmarkStart w:id="205" w:name="_Toc305747582"/>
            <w:bookmarkStart w:id="206" w:name="_Toc305747583"/>
            <w:bookmarkStart w:id="207" w:name="_Toc305747584"/>
            <w:bookmarkStart w:id="208" w:name="_Toc305747585"/>
            <w:bookmarkStart w:id="209" w:name="_Toc305747586"/>
            <w:bookmarkStart w:id="210" w:name="_Toc305764270"/>
            <w:bookmarkEnd w:id="199"/>
            <w:bookmarkEnd w:id="200"/>
            <w:bookmarkEnd w:id="201"/>
            <w:bookmarkEnd w:id="202"/>
            <w:bookmarkEnd w:id="203"/>
            <w:bookmarkEnd w:id="204"/>
            <w:bookmarkEnd w:id="205"/>
            <w:bookmarkEnd w:id="206"/>
            <w:bookmarkEnd w:id="207"/>
            <w:bookmarkEnd w:id="208"/>
            <w:bookmarkEnd w:id="209"/>
            <w:bookmarkEnd w:id="210"/>
            <w:r>
              <w:t>F</w:t>
            </w:r>
          </w:p>
        </w:tc>
        <w:tc>
          <w:tcPr>
            <w:tcW w:w="1456" w:type="dxa"/>
            <w:tcBorders>
              <w:top w:val="single" w:sz="4" w:space="0" w:color="auto"/>
              <w:left w:val="single" w:sz="4" w:space="0" w:color="auto"/>
              <w:bottom w:val="single" w:sz="4" w:space="0" w:color="auto"/>
              <w:right w:val="single" w:sz="4" w:space="0" w:color="auto"/>
            </w:tcBorders>
          </w:tcPr>
          <w:p w14:paraId="38C3CF5D" w14:textId="7A1FBBE1" w:rsidR="00CD211F" w:rsidRDefault="00CD211F" w:rsidP="009B63C0">
            <w:pPr>
              <w:keepNext/>
              <w:keepLines/>
              <w:jc w:val="center"/>
            </w:pPr>
            <w:r>
              <w:t>0</w:t>
            </w:r>
            <w:r w:rsidR="009B63C0">
              <w:t>9</w:t>
            </w:r>
            <w:r>
              <w:t>/</w:t>
            </w:r>
            <w:r w:rsidR="009B63C0">
              <w:t>25</w:t>
            </w:r>
            <w:r>
              <w:t>/2019</w:t>
            </w:r>
          </w:p>
        </w:tc>
        <w:tc>
          <w:tcPr>
            <w:tcW w:w="3369" w:type="dxa"/>
            <w:tcBorders>
              <w:top w:val="single" w:sz="4" w:space="0" w:color="auto"/>
              <w:left w:val="single" w:sz="4" w:space="0" w:color="auto"/>
              <w:bottom w:val="single" w:sz="4" w:space="0" w:color="auto"/>
              <w:right w:val="single" w:sz="4" w:space="0" w:color="auto"/>
            </w:tcBorders>
          </w:tcPr>
          <w:p w14:paraId="4AF6EEB0" w14:textId="5FFE7569" w:rsidR="00CD211F" w:rsidRDefault="00CD211F" w:rsidP="00CF5888">
            <w:pPr>
              <w:keepNext/>
              <w:keepLines/>
            </w:pPr>
            <w:r>
              <w:t>Added additional notification requirements for measured exposures above the action limit..</w:t>
            </w:r>
          </w:p>
        </w:tc>
        <w:tc>
          <w:tcPr>
            <w:tcW w:w="1708" w:type="dxa"/>
            <w:tcBorders>
              <w:top w:val="single" w:sz="4" w:space="0" w:color="auto"/>
              <w:left w:val="single" w:sz="4" w:space="0" w:color="auto"/>
              <w:bottom w:val="single" w:sz="4" w:space="0" w:color="auto"/>
              <w:right w:val="single" w:sz="4" w:space="0" w:color="auto"/>
            </w:tcBorders>
          </w:tcPr>
          <w:p w14:paraId="7E2FAFD9" w14:textId="77777777" w:rsidR="00CD211F" w:rsidRDefault="00CD211F" w:rsidP="00CF5888">
            <w:pPr>
              <w:keepNext/>
              <w:keepLines/>
            </w:pPr>
            <w:r>
              <w:t>Hayden Baker</w:t>
            </w:r>
          </w:p>
        </w:tc>
        <w:tc>
          <w:tcPr>
            <w:tcW w:w="1495" w:type="dxa"/>
            <w:tcBorders>
              <w:top w:val="single" w:sz="4" w:space="0" w:color="auto"/>
              <w:left w:val="single" w:sz="4" w:space="0" w:color="auto"/>
              <w:bottom w:val="single" w:sz="4" w:space="0" w:color="auto"/>
              <w:right w:val="single" w:sz="4" w:space="0" w:color="auto"/>
            </w:tcBorders>
          </w:tcPr>
          <w:p w14:paraId="067A16D7" w14:textId="0CBF29F3" w:rsidR="00CD211F" w:rsidRDefault="008479CA" w:rsidP="00CF5888">
            <w:pPr>
              <w:keepNext/>
              <w:keepLines/>
              <w:jc w:val="center"/>
            </w:pPr>
            <w:r>
              <w:t>ELC</w:t>
            </w:r>
          </w:p>
        </w:tc>
      </w:tr>
    </w:tbl>
    <w:p w14:paraId="29384BC0" w14:textId="77777777" w:rsidR="007876AE" w:rsidRDefault="007876AE"/>
    <w:p w14:paraId="29384BC1" w14:textId="77777777" w:rsidR="007876AE" w:rsidRDefault="007876AE">
      <w:bookmarkStart w:id="211" w:name="_GoBack"/>
      <w:bookmarkEnd w:id="211"/>
    </w:p>
    <w:sectPr w:rsidR="007876AE"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940B" w14:textId="77777777" w:rsidR="00733717" w:rsidRDefault="00733717">
      <w:r>
        <w:separator/>
      </w:r>
    </w:p>
    <w:p w14:paraId="557E4781" w14:textId="77777777" w:rsidR="00733717" w:rsidRDefault="00733717"/>
    <w:p w14:paraId="688A1413" w14:textId="77777777" w:rsidR="00733717" w:rsidRDefault="00733717" w:rsidP="00562D31"/>
  </w:endnote>
  <w:endnote w:type="continuationSeparator" w:id="0">
    <w:p w14:paraId="39A118B7" w14:textId="77777777" w:rsidR="00733717" w:rsidRDefault="00733717">
      <w:r>
        <w:continuationSeparator/>
      </w:r>
    </w:p>
    <w:p w14:paraId="743E037D" w14:textId="77777777" w:rsidR="00733717" w:rsidRDefault="00733717"/>
    <w:p w14:paraId="0A18B88B" w14:textId="77777777" w:rsidR="00733717" w:rsidRDefault="00733717" w:rsidP="0056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4BDC" w14:textId="77777777" w:rsidR="007876AE" w:rsidRDefault="006B27DD">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14:paraId="29384BDD" w14:textId="77777777" w:rsidR="007876AE" w:rsidRDefault="007876AE">
    <w:pPr>
      <w:pStyle w:val="Footer"/>
    </w:pPr>
  </w:p>
  <w:p w14:paraId="29384BDE" w14:textId="77777777" w:rsidR="00CF15B2" w:rsidRDefault="00CF15B2"/>
  <w:p w14:paraId="29384BDF" w14:textId="77777777" w:rsidR="00CF15B2" w:rsidRDefault="00CF15B2" w:rsidP="00562D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29384BE4" w14:textId="77777777" w:rsidTr="00AF5A51">
      <w:tc>
        <w:tcPr>
          <w:tcW w:w="727" w:type="dxa"/>
          <w:tcMar>
            <w:top w:w="14" w:type="dxa"/>
            <w:left w:w="115" w:type="dxa"/>
            <w:bottom w:w="14" w:type="dxa"/>
            <w:right w:w="115" w:type="dxa"/>
          </w:tcMar>
        </w:tcPr>
        <w:p w14:paraId="29384BE0"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9384BE1" w14:textId="77777777" w:rsidR="007876AE" w:rsidRPr="0068033B" w:rsidRDefault="0068033B" w:rsidP="00087FDC">
          <w:pPr>
            <w:tabs>
              <w:tab w:val="center" w:pos="4320"/>
              <w:tab w:val="right" w:pos="8640"/>
            </w:tabs>
            <w:jc w:val="center"/>
            <w:rPr>
              <w:rFonts w:ascii="Arial" w:hAnsi="Arial" w:cs="Arial"/>
              <w:snapToGrid w:val="0"/>
            </w:rPr>
          </w:pPr>
          <w:r>
            <w:rPr>
              <w:rFonts w:ascii="Arial" w:hAnsi="Arial" w:cs="Arial"/>
              <w:snapToGrid w:val="0"/>
            </w:rPr>
            <w:t xml:space="preserve">03.01H Lead Solder Safety </w:t>
          </w:r>
        </w:p>
      </w:tc>
      <w:tc>
        <w:tcPr>
          <w:tcW w:w="3780" w:type="dxa"/>
          <w:tcMar>
            <w:top w:w="14" w:type="dxa"/>
            <w:left w:w="115" w:type="dxa"/>
            <w:bottom w:w="14" w:type="dxa"/>
            <w:right w:w="115" w:type="dxa"/>
          </w:tcMar>
        </w:tcPr>
        <w:p w14:paraId="29384BE2"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6B27DD" w:rsidRPr="007E64CA">
            <w:rPr>
              <w:rStyle w:val="PageNumber"/>
              <w:rFonts w:cs="Arial"/>
            </w:rPr>
            <w:fldChar w:fldCharType="begin"/>
          </w:r>
          <w:r w:rsidRPr="007E64CA">
            <w:rPr>
              <w:rStyle w:val="PageNumber"/>
              <w:rFonts w:cs="Arial"/>
            </w:rPr>
            <w:instrText xml:space="preserve"> PAGE </w:instrText>
          </w:r>
          <w:r w:rsidR="006B27DD" w:rsidRPr="007E64CA">
            <w:rPr>
              <w:rStyle w:val="PageNumber"/>
              <w:rFonts w:cs="Arial"/>
            </w:rPr>
            <w:fldChar w:fldCharType="separate"/>
          </w:r>
          <w:r w:rsidR="00E423DC">
            <w:rPr>
              <w:rStyle w:val="PageNumber"/>
              <w:rFonts w:cs="Arial"/>
              <w:noProof/>
            </w:rPr>
            <w:t>4</w:t>
          </w:r>
          <w:r w:rsidR="006B27DD" w:rsidRPr="007E64CA">
            <w:rPr>
              <w:rStyle w:val="PageNumber"/>
              <w:rFonts w:cs="Arial"/>
            </w:rPr>
            <w:fldChar w:fldCharType="end"/>
          </w:r>
          <w:r w:rsidRPr="007E64CA">
            <w:rPr>
              <w:rStyle w:val="PageNumber"/>
              <w:rFonts w:cs="Arial"/>
            </w:rPr>
            <w:t xml:space="preserve"> of </w:t>
          </w:r>
          <w:r w:rsidR="006B27DD" w:rsidRPr="007E64CA">
            <w:rPr>
              <w:rStyle w:val="PageNumber"/>
              <w:rFonts w:cs="Arial"/>
            </w:rPr>
            <w:fldChar w:fldCharType="begin"/>
          </w:r>
          <w:r w:rsidRPr="007E64CA">
            <w:rPr>
              <w:rStyle w:val="PageNumber"/>
              <w:rFonts w:cs="Arial"/>
            </w:rPr>
            <w:instrText xml:space="preserve"> NUMPAGES </w:instrText>
          </w:r>
          <w:r w:rsidR="006B27DD" w:rsidRPr="007E64CA">
            <w:rPr>
              <w:rStyle w:val="PageNumber"/>
              <w:rFonts w:cs="Arial"/>
            </w:rPr>
            <w:fldChar w:fldCharType="separate"/>
          </w:r>
          <w:r w:rsidR="00E423DC">
            <w:rPr>
              <w:rStyle w:val="PageNumber"/>
              <w:rFonts w:cs="Arial"/>
              <w:noProof/>
            </w:rPr>
            <w:t>4</w:t>
          </w:r>
          <w:r w:rsidR="006B27DD" w:rsidRPr="007E64CA">
            <w:rPr>
              <w:rStyle w:val="PageNumber"/>
              <w:rFonts w:cs="Arial"/>
            </w:rPr>
            <w:fldChar w:fldCharType="end"/>
          </w:r>
        </w:p>
      </w:tc>
      <w:tc>
        <w:tcPr>
          <w:tcW w:w="872" w:type="dxa"/>
          <w:tcMar>
            <w:top w:w="14" w:type="dxa"/>
            <w:left w:w="115" w:type="dxa"/>
            <w:bottom w:w="14" w:type="dxa"/>
            <w:right w:w="115" w:type="dxa"/>
          </w:tcMar>
        </w:tcPr>
        <w:p w14:paraId="29384BE3" w14:textId="70E8C29A" w:rsidR="007876AE" w:rsidRPr="007A7BB8" w:rsidRDefault="007876AE" w:rsidP="00CD211F">
          <w:pPr>
            <w:tabs>
              <w:tab w:val="center" w:pos="4320"/>
              <w:tab w:val="right" w:pos="8640"/>
            </w:tabs>
            <w:jc w:val="center"/>
            <w:rPr>
              <w:snapToGrid w:val="0"/>
            </w:rPr>
          </w:pPr>
          <w:r w:rsidRPr="007A7BB8">
            <w:rPr>
              <w:snapToGrid w:val="0"/>
            </w:rPr>
            <w:t xml:space="preserve">Rev </w:t>
          </w:r>
          <w:r w:rsidR="00CD211F">
            <w:rPr>
              <w:snapToGrid w:val="0"/>
            </w:rPr>
            <w:t>F</w:t>
          </w:r>
        </w:p>
      </w:tc>
    </w:tr>
  </w:tbl>
  <w:p w14:paraId="29384BE5" w14:textId="77777777" w:rsidR="007876AE" w:rsidRDefault="007876AE">
    <w:pPr>
      <w:pStyle w:val="Footer"/>
      <w:rPr>
        <w:snapToGrid w:val="0"/>
      </w:rPr>
    </w:pPr>
  </w:p>
  <w:p w14:paraId="29384BE6" w14:textId="77777777" w:rsidR="00CF15B2" w:rsidRDefault="00CF15B2"/>
  <w:p w14:paraId="29384BE7" w14:textId="77777777" w:rsidR="00CF15B2" w:rsidRDefault="00CF15B2" w:rsidP="00562D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29384BF9" w14:textId="77777777" w:rsidTr="00AF5A51">
      <w:tc>
        <w:tcPr>
          <w:tcW w:w="727" w:type="dxa"/>
          <w:tcMar>
            <w:top w:w="14" w:type="dxa"/>
            <w:left w:w="115" w:type="dxa"/>
            <w:bottom w:w="14" w:type="dxa"/>
            <w:right w:w="115" w:type="dxa"/>
          </w:tcMar>
        </w:tcPr>
        <w:p w14:paraId="29384BF5"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29384BF6" w14:textId="77777777"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29384BF7"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6B27DD" w:rsidRPr="007E64CA">
            <w:rPr>
              <w:rStyle w:val="PageNumber"/>
              <w:rFonts w:cs="Arial"/>
            </w:rPr>
            <w:fldChar w:fldCharType="begin"/>
          </w:r>
          <w:r w:rsidRPr="007E64CA">
            <w:rPr>
              <w:rStyle w:val="PageNumber"/>
              <w:rFonts w:cs="Arial"/>
            </w:rPr>
            <w:instrText xml:space="preserve"> PAGE </w:instrText>
          </w:r>
          <w:r w:rsidR="006B27DD" w:rsidRPr="007E64CA">
            <w:rPr>
              <w:rStyle w:val="PageNumber"/>
              <w:rFonts w:cs="Arial"/>
            </w:rPr>
            <w:fldChar w:fldCharType="separate"/>
          </w:r>
          <w:r>
            <w:rPr>
              <w:rStyle w:val="PageNumber"/>
              <w:rFonts w:cs="Arial"/>
              <w:noProof/>
            </w:rPr>
            <w:t>1</w:t>
          </w:r>
          <w:r w:rsidR="006B27DD" w:rsidRPr="007E64CA">
            <w:rPr>
              <w:rStyle w:val="PageNumber"/>
              <w:rFonts w:cs="Arial"/>
            </w:rPr>
            <w:fldChar w:fldCharType="end"/>
          </w:r>
          <w:r w:rsidRPr="007E64CA">
            <w:rPr>
              <w:rStyle w:val="PageNumber"/>
              <w:rFonts w:cs="Arial"/>
            </w:rPr>
            <w:t xml:space="preserve"> of </w:t>
          </w:r>
          <w:r w:rsidR="006B27DD" w:rsidRPr="007E64CA">
            <w:rPr>
              <w:rStyle w:val="PageNumber"/>
              <w:rFonts w:cs="Arial"/>
            </w:rPr>
            <w:fldChar w:fldCharType="begin"/>
          </w:r>
          <w:r w:rsidRPr="007E64CA">
            <w:rPr>
              <w:rStyle w:val="PageNumber"/>
              <w:rFonts w:cs="Arial"/>
            </w:rPr>
            <w:instrText xml:space="preserve"> NUMPAGES </w:instrText>
          </w:r>
          <w:r w:rsidR="006B27DD" w:rsidRPr="007E64CA">
            <w:rPr>
              <w:rStyle w:val="PageNumber"/>
              <w:rFonts w:cs="Arial"/>
            </w:rPr>
            <w:fldChar w:fldCharType="separate"/>
          </w:r>
          <w:r>
            <w:rPr>
              <w:rStyle w:val="PageNumber"/>
              <w:rFonts w:cs="Arial"/>
              <w:noProof/>
            </w:rPr>
            <w:t>2</w:t>
          </w:r>
          <w:r w:rsidR="006B27DD" w:rsidRPr="007E64CA">
            <w:rPr>
              <w:rStyle w:val="PageNumber"/>
              <w:rFonts w:cs="Arial"/>
            </w:rPr>
            <w:fldChar w:fldCharType="end"/>
          </w:r>
        </w:p>
      </w:tc>
      <w:tc>
        <w:tcPr>
          <w:tcW w:w="872" w:type="dxa"/>
          <w:tcMar>
            <w:top w:w="14" w:type="dxa"/>
            <w:left w:w="115" w:type="dxa"/>
            <w:bottom w:w="14" w:type="dxa"/>
            <w:right w:w="115" w:type="dxa"/>
          </w:tcMar>
        </w:tcPr>
        <w:p w14:paraId="29384BF8" w14:textId="77777777"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14:paraId="29384BFA" w14:textId="77777777" w:rsidR="007876AE" w:rsidRDefault="007876AE">
    <w:pPr>
      <w:pStyle w:val="Footer"/>
    </w:pPr>
  </w:p>
  <w:p w14:paraId="29384BFB" w14:textId="77777777" w:rsidR="00CF15B2" w:rsidRDefault="00CF15B2"/>
  <w:p w14:paraId="29384BFC" w14:textId="77777777" w:rsidR="00CF15B2" w:rsidRDefault="00CF15B2" w:rsidP="00562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D1D5" w14:textId="77777777" w:rsidR="00733717" w:rsidRDefault="00733717">
      <w:r>
        <w:separator/>
      </w:r>
    </w:p>
    <w:p w14:paraId="6069B01E" w14:textId="77777777" w:rsidR="00733717" w:rsidRDefault="00733717"/>
    <w:p w14:paraId="519663A3" w14:textId="77777777" w:rsidR="00733717" w:rsidRDefault="00733717" w:rsidP="00562D31"/>
  </w:footnote>
  <w:footnote w:type="continuationSeparator" w:id="0">
    <w:p w14:paraId="7348B103" w14:textId="77777777" w:rsidR="00733717" w:rsidRDefault="00733717">
      <w:r>
        <w:continuationSeparator/>
      </w:r>
    </w:p>
    <w:p w14:paraId="46BBC816" w14:textId="77777777" w:rsidR="00733717" w:rsidRDefault="00733717"/>
    <w:p w14:paraId="2CF7C18B" w14:textId="77777777" w:rsidR="00733717" w:rsidRDefault="00733717" w:rsidP="00562D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7876AE" w:rsidRPr="007A7BB8" w14:paraId="29384BD1" w14:textId="77777777" w:rsidTr="00AF5A51">
      <w:tc>
        <w:tcPr>
          <w:tcW w:w="5112" w:type="dxa"/>
        </w:tcPr>
        <w:p w14:paraId="29384BCE" w14:textId="77777777" w:rsidR="007876AE" w:rsidRPr="007A7BB8" w:rsidRDefault="004F72F1" w:rsidP="00AF5A51">
          <w:pPr>
            <w:tabs>
              <w:tab w:val="center" w:pos="4320"/>
              <w:tab w:val="right" w:pos="8640"/>
            </w:tabs>
            <w:jc w:val="both"/>
          </w:pPr>
          <w:r>
            <w:rPr>
              <w:noProof/>
            </w:rPr>
            <w:drawing>
              <wp:inline distT="0" distB="0" distL="0" distR="0" wp14:anchorId="29384BFD" wp14:editId="29384BFE">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29384BCF" w14:textId="77777777" w:rsidR="007876AE" w:rsidRDefault="007876AE" w:rsidP="00AF5A51">
          <w:pPr>
            <w:tabs>
              <w:tab w:val="center" w:pos="4320"/>
              <w:tab w:val="right" w:pos="8640"/>
            </w:tabs>
            <w:jc w:val="right"/>
          </w:pPr>
          <w:r>
            <w:t>TI Information – Selective Disclosure</w:t>
          </w:r>
        </w:p>
        <w:p w14:paraId="29384BD0" w14:textId="77777777" w:rsidR="00577D8C" w:rsidRPr="007A7BB8" w:rsidRDefault="00577D8C" w:rsidP="00087FDC">
          <w:pPr>
            <w:tabs>
              <w:tab w:val="center" w:pos="4320"/>
              <w:tab w:val="right" w:pos="8640"/>
            </w:tabs>
            <w:jc w:val="right"/>
          </w:pPr>
          <w:r>
            <w:t>Effective</w:t>
          </w:r>
          <w:r w:rsidR="00087FDC">
            <w:t>: October 30,  2013</w:t>
          </w:r>
        </w:p>
      </w:tc>
    </w:tr>
  </w:tbl>
  <w:p w14:paraId="29384BD2" w14:textId="77777777" w:rsidR="007876AE" w:rsidRPr="007A7BB8" w:rsidRDefault="007876AE" w:rsidP="00691F08">
    <w:pPr>
      <w:tabs>
        <w:tab w:val="center" w:pos="4320"/>
        <w:tab w:val="right" w:pos="8640"/>
      </w:tabs>
      <w:jc w:val="both"/>
    </w:pPr>
  </w:p>
  <w:p w14:paraId="29384BD3" w14:textId="77777777" w:rsidR="007876AE" w:rsidRDefault="007876AE" w:rsidP="00691F08">
    <w:pPr>
      <w:jc w:val="center"/>
      <w:rPr>
        <w:b/>
        <w:bCs/>
        <w:sz w:val="24"/>
      </w:rPr>
    </w:pPr>
    <w:r>
      <w:rPr>
        <w:b/>
        <w:bCs/>
        <w:sz w:val="24"/>
      </w:rPr>
      <w:t>TI ESH Standard</w:t>
    </w:r>
    <w:r w:rsidR="00D8554F">
      <w:rPr>
        <w:b/>
        <w:bCs/>
        <w:sz w:val="24"/>
      </w:rPr>
      <w:t xml:space="preserve"> 03.01H </w:t>
    </w:r>
  </w:p>
  <w:p w14:paraId="29384BD4" w14:textId="77777777" w:rsidR="00D8554F" w:rsidRPr="004B610F" w:rsidRDefault="00D8554F" w:rsidP="00691F08">
    <w:pPr>
      <w:jc w:val="center"/>
      <w:rPr>
        <w:b/>
        <w:bCs/>
        <w:sz w:val="24"/>
      </w:rPr>
    </w:pPr>
    <w:r>
      <w:rPr>
        <w:b/>
        <w:bCs/>
        <w:sz w:val="24"/>
      </w:rPr>
      <w:t>LEAD SOLDER SAFETY</w:t>
    </w:r>
  </w:p>
  <w:p w14:paraId="29384BD5" w14:textId="77777777" w:rsidR="007876AE" w:rsidRPr="007A7BB8" w:rsidRDefault="007876AE" w:rsidP="00691F08">
    <w:pPr>
      <w:pBdr>
        <w:bottom w:val="single" w:sz="12" w:space="1" w:color="auto"/>
      </w:pBdr>
      <w:tabs>
        <w:tab w:val="center" w:pos="4320"/>
        <w:tab w:val="right" w:pos="8640"/>
      </w:tabs>
      <w:jc w:val="center"/>
      <w:rPr>
        <w:b/>
        <w:bCs/>
      </w:rPr>
    </w:pPr>
  </w:p>
  <w:p w14:paraId="29384BD6" w14:textId="77777777" w:rsidR="007876AE" w:rsidRPr="007A7BB8" w:rsidRDefault="007876AE" w:rsidP="00691F08">
    <w:pPr>
      <w:tabs>
        <w:tab w:val="center" w:pos="4320"/>
        <w:tab w:val="right" w:pos="8640"/>
      </w:tabs>
      <w:rPr>
        <w:b/>
        <w:bCs/>
      </w:rPr>
    </w:pPr>
  </w:p>
  <w:p w14:paraId="29384BD7" w14:textId="77777777"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9384BD8" w14:textId="77777777" w:rsidR="007876AE" w:rsidRPr="007A7BB8" w:rsidRDefault="007876AE" w:rsidP="00691F08">
    <w:pPr>
      <w:pBdr>
        <w:bottom w:val="single" w:sz="12" w:space="1" w:color="auto"/>
      </w:pBdr>
      <w:tabs>
        <w:tab w:val="center" w:pos="4320"/>
        <w:tab w:val="right" w:pos="8640"/>
      </w:tabs>
      <w:jc w:val="center"/>
      <w:rPr>
        <w:b/>
        <w:bCs/>
      </w:rPr>
    </w:pPr>
  </w:p>
  <w:p w14:paraId="29384BD9" w14:textId="77777777" w:rsidR="007876AE" w:rsidRDefault="007876AE">
    <w:pPr>
      <w:rPr>
        <w:rFonts w:ascii="Arial" w:hAnsi="Arial"/>
      </w:rPr>
    </w:pPr>
  </w:p>
  <w:p w14:paraId="29384BDA" w14:textId="77777777" w:rsidR="00CF15B2" w:rsidRDefault="00CF15B2"/>
  <w:p w14:paraId="29384BDB" w14:textId="77777777" w:rsidR="00CF15B2" w:rsidRDefault="00CF15B2" w:rsidP="00562D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7876AE" w:rsidRPr="007A7BB8" w14:paraId="29384BEA" w14:textId="77777777" w:rsidTr="00AF5A51">
      <w:tc>
        <w:tcPr>
          <w:tcW w:w="5112" w:type="dxa"/>
        </w:tcPr>
        <w:p w14:paraId="29384BE8" w14:textId="77777777" w:rsidR="007876AE" w:rsidRPr="007A7BB8" w:rsidRDefault="004F72F1" w:rsidP="00AF5A51">
          <w:pPr>
            <w:tabs>
              <w:tab w:val="center" w:pos="4320"/>
              <w:tab w:val="right" w:pos="8640"/>
            </w:tabs>
            <w:jc w:val="both"/>
          </w:pPr>
          <w:r>
            <w:rPr>
              <w:noProof/>
            </w:rPr>
            <w:drawing>
              <wp:inline distT="0" distB="0" distL="0" distR="0" wp14:anchorId="29384BFF" wp14:editId="29384C00">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29384BE9" w14:textId="77777777" w:rsidR="007876AE" w:rsidRPr="007A7BB8" w:rsidRDefault="007876AE" w:rsidP="00AF5A51">
          <w:pPr>
            <w:tabs>
              <w:tab w:val="center" w:pos="4320"/>
              <w:tab w:val="right" w:pos="8640"/>
            </w:tabs>
            <w:jc w:val="right"/>
          </w:pPr>
          <w:r>
            <w:t>WWESH</w:t>
          </w:r>
        </w:p>
      </w:tc>
    </w:tr>
  </w:tbl>
  <w:p w14:paraId="29384BEB" w14:textId="77777777" w:rsidR="007876AE" w:rsidRPr="007A7BB8" w:rsidRDefault="007876AE" w:rsidP="00DA6132">
    <w:pPr>
      <w:tabs>
        <w:tab w:val="center" w:pos="4320"/>
        <w:tab w:val="right" w:pos="8640"/>
      </w:tabs>
      <w:jc w:val="both"/>
    </w:pPr>
  </w:p>
  <w:p w14:paraId="29384BEC" w14:textId="77777777" w:rsidR="007876AE" w:rsidRDefault="007876AE" w:rsidP="00DA6132">
    <w:pPr>
      <w:jc w:val="center"/>
      <w:rPr>
        <w:b/>
        <w:bCs/>
        <w:sz w:val="24"/>
      </w:rPr>
    </w:pPr>
    <w:r>
      <w:rPr>
        <w:b/>
        <w:bCs/>
        <w:sz w:val="24"/>
      </w:rPr>
      <w:t>Document No. xxx-S</w:t>
    </w:r>
  </w:p>
  <w:p w14:paraId="29384BED" w14:textId="77777777" w:rsidR="007876AE" w:rsidRPr="004B610F" w:rsidRDefault="007876AE" w:rsidP="00DA6132">
    <w:pPr>
      <w:jc w:val="center"/>
      <w:rPr>
        <w:b/>
        <w:bCs/>
        <w:sz w:val="24"/>
      </w:rPr>
    </w:pPr>
    <w:r>
      <w:rPr>
        <w:b/>
        <w:bCs/>
        <w:sz w:val="24"/>
      </w:rPr>
      <w:t>TITLE</w:t>
    </w:r>
  </w:p>
  <w:p w14:paraId="29384BEE" w14:textId="77777777" w:rsidR="007876AE" w:rsidRPr="007A7BB8" w:rsidRDefault="007876AE" w:rsidP="00DA6132">
    <w:pPr>
      <w:pBdr>
        <w:bottom w:val="single" w:sz="12" w:space="1" w:color="auto"/>
      </w:pBdr>
      <w:tabs>
        <w:tab w:val="center" w:pos="4320"/>
        <w:tab w:val="right" w:pos="8640"/>
      </w:tabs>
      <w:jc w:val="center"/>
      <w:rPr>
        <w:b/>
        <w:bCs/>
      </w:rPr>
    </w:pPr>
  </w:p>
  <w:p w14:paraId="29384BEF" w14:textId="77777777" w:rsidR="007876AE" w:rsidRPr="007A7BB8" w:rsidRDefault="007876AE" w:rsidP="00DA6132">
    <w:pPr>
      <w:tabs>
        <w:tab w:val="center" w:pos="4320"/>
        <w:tab w:val="right" w:pos="8640"/>
      </w:tabs>
      <w:rPr>
        <w:b/>
        <w:bCs/>
      </w:rPr>
    </w:pPr>
  </w:p>
  <w:p w14:paraId="29384BF0" w14:textId="77777777"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29384BF1" w14:textId="77777777" w:rsidR="007876AE" w:rsidRPr="007A7BB8" w:rsidRDefault="007876AE" w:rsidP="00DA6132">
    <w:pPr>
      <w:pBdr>
        <w:bottom w:val="single" w:sz="12" w:space="1" w:color="auto"/>
      </w:pBdr>
      <w:tabs>
        <w:tab w:val="center" w:pos="4320"/>
        <w:tab w:val="right" w:pos="8640"/>
      </w:tabs>
      <w:jc w:val="center"/>
      <w:rPr>
        <w:b/>
        <w:bCs/>
      </w:rPr>
    </w:pPr>
  </w:p>
  <w:p w14:paraId="29384BF2" w14:textId="77777777" w:rsidR="007876AE" w:rsidRDefault="007876AE">
    <w:pPr>
      <w:pStyle w:val="Header"/>
    </w:pPr>
  </w:p>
  <w:p w14:paraId="29384BF3" w14:textId="77777777" w:rsidR="00CF15B2" w:rsidRDefault="00CF15B2"/>
  <w:p w14:paraId="29384BF4" w14:textId="77777777" w:rsidR="00CF15B2" w:rsidRDefault="00CF15B2" w:rsidP="00562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9912EA0A"/>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 w:numId="36">
    <w:abstractNumId w:val="9"/>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33C6"/>
    <w:rsid w:val="000049DD"/>
    <w:rsid w:val="00011572"/>
    <w:rsid w:val="00012E28"/>
    <w:rsid w:val="000224D0"/>
    <w:rsid w:val="000258CC"/>
    <w:rsid w:val="00030E2D"/>
    <w:rsid w:val="00031932"/>
    <w:rsid w:val="000377CB"/>
    <w:rsid w:val="000378FF"/>
    <w:rsid w:val="0004203C"/>
    <w:rsid w:val="00046264"/>
    <w:rsid w:val="00047F91"/>
    <w:rsid w:val="000564B8"/>
    <w:rsid w:val="0005731E"/>
    <w:rsid w:val="00067F28"/>
    <w:rsid w:val="00074E7B"/>
    <w:rsid w:val="000815BE"/>
    <w:rsid w:val="00084B1A"/>
    <w:rsid w:val="00087FDC"/>
    <w:rsid w:val="00093AAB"/>
    <w:rsid w:val="00095419"/>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22352"/>
    <w:rsid w:val="001328C7"/>
    <w:rsid w:val="00132EF0"/>
    <w:rsid w:val="00133381"/>
    <w:rsid w:val="001348A2"/>
    <w:rsid w:val="001363EF"/>
    <w:rsid w:val="00137B45"/>
    <w:rsid w:val="001407C9"/>
    <w:rsid w:val="001529B9"/>
    <w:rsid w:val="00155C15"/>
    <w:rsid w:val="00160586"/>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F2C82"/>
    <w:rsid w:val="001F2EFD"/>
    <w:rsid w:val="001F345B"/>
    <w:rsid w:val="001F6F07"/>
    <w:rsid w:val="00205AAA"/>
    <w:rsid w:val="00211E74"/>
    <w:rsid w:val="0021630C"/>
    <w:rsid w:val="002212B8"/>
    <w:rsid w:val="00221A0F"/>
    <w:rsid w:val="00221EB8"/>
    <w:rsid w:val="00225F5E"/>
    <w:rsid w:val="0022643D"/>
    <w:rsid w:val="0023075E"/>
    <w:rsid w:val="00240E83"/>
    <w:rsid w:val="00246F39"/>
    <w:rsid w:val="00246F6D"/>
    <w:rsid w:val="00251F3B"/>
    <w:rsid w:val="002558D5"/>
    <w:rsid w:val="002769F7"/>
    <w:rsid w:val="00282EBC"/>
    <w:rsid w:val="0028448E"/>
    <w:rsid w:val="00286F22"/>
    <w:rsid w:val="00286FA7"/>
    <w:rsid w:val="0028705C"/>
    <w:rsid w:val="00295934"/>
    <w:rsid w:val="00297BCF"/>
    <w:rsid w:val="002A25CC"/>
    <w:rsid w:val="002B3F6E"/>
    <w:rsid w:val="002C1B75"/>
    <w:rsid w:val="002C341A"/>
    <w:rsid w:val="002C730E"/>
    <w:rsid w:val="002D042E"/>
    <w:rsid w:val="002D2374"/>
    <w:rsid w:val="002D58CC"/>
    <w:rsid w:val="002D5CBD"/>
    <w:rsid w:val="002D7940"/>
    <w:rsid w:val="002E0A74"/>
    <w:rsid w:val="002F2E4A"/>
    <w:rsid w:val="002F718F"/>
    <w:rsid w:val="003177F7"/>
    <w:rsid w:val="003271AB"/>
    <w:rsid w:val="003334E4"/>
    <w:rsid w:val="00333F78"/>
    <w:rsid w:val="00335C01"/>
    <w:rsid w:val="00336B9A"/>
    <w:rsid w:val="00342375"/>
    <w:rsid w:val="00363064"/>
    <w:rsid w:val="003700D3"/>
    <w:rsid w:val="00370492"/>
    <w:rsid w:val="003807E2"/>
    <w:rsid w:val="003841DE"/>
    <w:rsid w:val="003854F3"/>
    <w:rsid w:val="0039399F"/>
    <w:rsid w:val="003A299D"/>
    <w:rsid w:val="003A3ACC"/>
    <w:rsid w:val="003B06DF"/>
    <w:rsid w:val="003B1F20"/>
    <w:rsid w:val="003B30DE"/>
    <w:rsid w:val="003B5520"/>
    <w:rsid w:val="003B6D50"/>
    <w:rsid w:val="003B7EBD"/>
    <w:rsid w:val="003C2545"/>
    <w:rsid w:val="003D1601"/>
    <w:rsid w:val="003D3EF3"/>
    <w:rsid w:val="003D4081"/>
    <w:rsid w:val="003D7EC4"/>
    <w:rsid w:val="003E30CF"/>
    <w:rsid w:val="003E4F9F"/>
    <w:rsid w:val="003F7F74"/>
    <w:rsid w:val="0040355D"/>
    <w:rsid w:val="00404C81"/>
    <w:rsid w:val="0040793E"/>
    <w:rsid w:val="00407DCD"/>
    <w:rsid w:val="004135DB"/>
    <w:rsid w:val="004262A6"/>
    <w:rsid w:val="004272F2"/>
    <w:rsid w:val="00432AEA"/>
    <w:rsid w:val="0043782A"/>
    <w:rsid w:val="0044212B"/>
    <w:rsid w:val="00445A27"/>
    <w:rsid w:val="0046187A"/>
    <w:rsid w:val="004706D6"/>
    <w:rsid w:val="004801D3"/>
    <w:rsid w:val="0048334E"/>
    <w:rsid w:val="004917B8"/>
    <w:rsid w:val="004B610F"/>
    <w:rsid w:val="004C6974"/>
    <w:rsid w:val="004E04A3"/>
    <w:rsid w:val="004E12D0"/>
    <w:rsid w:val="004E3993"/>
    <w:rsid w:val="004F0864"/>
    <w:rsid w:val="004F33FE"/>
    <w:rsid w:val="004F4837"/>
    <w:rsid w:val="004F72F1"/>
    <w:rsid w:val="00503C0E"/>
    <w:rsid w:val="00517516"/>
    <w:rsid w:val="00521323"/>
    <w:rsid w:val="005369AB"/>
    <w:rsid w:val="0054622D"/>
    <w:rsid w:val="00552308"/>
    <w:rsid w:val="00554421"/>
    <w:rsid w:val="00561356"/>
    <w:rsid w:val="00562D31"/>
    <w:rsid w:val="00567C5B"/>
    <w:rsid w:val="00576794"/>
    <w:rsid w:val="00577D8C"/>
    <w:rsid w:val="0058279A"/>
    <w:rsid w:val="00583408"/>
    <w:rsid w:val="005836EF"/>
    <w:rsid w:val="005907E4"/>
    <w:rsid w:val="00591BE0"/>
    <w:rsid w:val="005B1DC5"/>
    <w:rsid w:val="005B2A4F"/>
    <w:rsid w:val="005B32E5"/>
    <w:rsid w:val="005D056F"/>
    <w:rsid w:val="005E1789"/>
    <w:rsid w:val="005E50A1"/>
    <w:rsid w:val="005F47A2"/>
    <w:rsid w:val="0060005F"/>
    <w:rsid w:val="006067BA"/>
    <w:rsid w:val="00607211"/>
    <w:rsid w:val="00625EB8"/>
    <w:rsid w:val="00626293"/>
    <w:rsid w:val="00627F3E"/>
    <w:rsid w:val="006309BC"/>
    <w:rsid w:val="00630B7A"/>
    <w:rsid w:val="00631283"/>
    <w:rsid w:val="00641E5F"/>
    <w:rsid w:val="00645A8E"/>
    <w:rsid w:val="006465F8"/>
    <w:rsid w:val="00646FEF"/>
    <w:rsid w:val="006542E7"/>
    <w:rsid w:val="006620F1"/>
    <w:rsid w:val="006621CE"/>
    <w:rsid w:val="00672D5A"/>
    <w:rsid w:val="0067388A"/>
    <w:rsid w:val="00675200"/>
    <w:rsid w:val="0068033B"/>
    <w:rsid w:val="00684329"/>
    <w:rsid w:val="00687930"/>
    <w:rsid w:val="00691F08"/>
    <w:rsid w:val="0069328C"/>
    <w:rsid w:val="00695CB4"/>
    <w:rsid w:val="006A0EA9"/>
    <w:rsid w:val="006A3124"/>
    <w:rsid w:val="006A65CE"/>
    <w:rsid w:val="006B27DD"/>
    <w:rsid w:val="006C0009"/>
    <w:rsid w:val="006C16CA"/>
    <w:rsid w:val="006D7590"/>
    <w:rsid w:val="006E548F"/>
    <w:rsid w:val="006E5736"/>
    <w:rsid w:val="006F1E75"/>
    <w:rsid w:val="00706746"/>
    <w:rsid w:val="00730BE3"/>
    <w:rsid w:val="00732EA2"/>
    <w:rsid w:val="00733717"/>
    <w:rsid w:val="00734F7F"/>
    <w:rsid w:val="00735087"/>
    <w:rsid w:val="00743E2A"/>
    <w:rsid w:val="00753336"/>
    <w:rsid w:val="007713B0"/>
    <w:rsid w:val="00772D19"/>
    <w:rsid w:val="00775F89"/>
    <w:rsid w:val="0077698B"/>
    <w:rsid w:val="00782B67"/>
    <w:rsid w:val="007876AE"/>
    <w:rsid w:val="00787C1A"/>
    <w:rsid w:val="00790F8C"/>
    <w:rsid w:val="00794EFF"/>
    <w:rsid w:val="007A27C1"/>
    <w:rsid w:val="007A3D98"/>
    <w:rsid w:val="007A7BB8"/>
    <w:rsid w:val="007B7078"/>
    <w:rsid w:val="007C057F"/>
    <w:rsid w:val="007C105C"/>
    <w:rsid w:val="007C1717"/>
    <w:rsid w:val="007C2A78"/>
    <w:rsid w:val="007C2EA5"/>
    <w:rsid w:val="007D10E6"/>
    <w:rsid w:val="007E25FC"/>
    <w:rsid w:val="007E64CA"/>
    <w:rsid w:val="007F1D3B"/>
    <w:rsid w:val="007F2F24"/>
    <w:rsid w:val="007F6933"/>
    <w:rsid w:val="008000E3"/>
    <w:rsid w:val="008030C8"/>
    <w:rsid w:val="00806B47"/>
    <w:rsid w:val="00812733"/>
    <w:rsid w:val="008141FA"/>
    <w:rsid w:val="00820726"/>
    <w:rsid w:val="0082250B"/>
    <w:rsid w:val="00827BA3"/>
    <w:rsid w:val="00830745"/>
    <w:rsid w:val="00833BB0"/>
    <w:rsid w:val="008340A2"/>
    <w:rsid w:val="0084180E"/>
    <w:rsid w:val="0084452F"/>
    <w:rsid w:val="008479CA"/>
    <w:rsid w:val="008559EA"/>
    <w:rsid w:val="00862E1E"/>
    <w:rsid w:val="00863348"/>
    <w:rsid w:val="00872BF3"/>
    <w:rsid w:val="00876534"/>
    <w:rsid w:val="00881489"/>
    <w:rsid w:val="008A1650"/>
    <w:rsid w:val="008A1A5E"/>
    <w:rsid w:val="008A68E8"/>
    <w:rsid w:val="008A73A8"/>
    <w:rsid w:val="008B2835"/>
    <w:rsid w:val="008B758E"/>
    <w:rsid w:val="008C339F"/>
    <w:rsid w:val="008C5CF9"/>
    <w:rsid w:val="008E03C7"/>
    <w:rsid w:val="008E21A4"/>
    <w:rsid w:val="008E2D20"/>
    <w:rsid w:val="008E3881"/>
    <w:rsid w:val="008E46BA"/>
    <w:rsid w:val="008E6926"/>
    <w:rsid w:val="008E7418"/>
    <w:rsid w:val="008F1B35"/>
    <w:rsid w:val="008F1E35"/>
    <w:rsid w:val="008F65CD"/>
    <w:rsid w:val="008F77C1"/>
    <w:rsid w:val="00904C46"/>
    <w:rsid w:val="009061AE"/>
    <w:rsid w:val="00911ED1"/>
    <w:rsid w:val="00914091"/>
    <w:rsid w:val="00920475"/>
    <w:rsid w:val="00920534"/>
    <w:rsid w:val="0092340B"/>
    <w:rsid w:val="00923CDD"/>
    <w:rsid w:val="00927123"/>
    <w:rsid w:val="009327D3"/>
    <w:rsid w:val="00933C07"/>
    <w:rsid w:val="00934AE1"/>
    <w:rsid w:val="009518D8"/>
    <w:rsid w:val="0096603B"/>
    <w:rsid w:val="009700A9"/>
    <w:rsid w:val="00970BF5"/>
    <w:rsid w:val="00971F25"/>
    <w:rsid w:val="00972176"/>
    <w:rsid w:val="00973149"/>
    <w:rsid w:val="00980277"/>
    <w:rsid w:val="00985604"/>
    <w:rsid w:val="009863E3"/>
    <w:rsid w:val="00990353"/>
    <w:rsid w:val="00994EB4"/>
    <w:rsid w:val="009962FC"/>
    <w:rsid w:val="009974B2"/>
    <w:rsid w:val="009A5DC4"/>
    <w:rsid w:val="009B0B8F"/>
    <w:rsid w:val="009B63C0"/>
    <w:rsid w:val="009C11D0"/>
    <w:rsid w:val="009D02DE"/>
    <w:rsid w:val="009E3242"/>
    <w:rsid w:val="009E4324"/>
    <w:rsid w:val="009F1937"/>
    <w:rsid w:val="009F7BC3"/>
    <w:rsid w:val="00A01A02"/>
    <w:rsid w:val="00A107E1"/>
    <w:rsid w:val="00A22396"/>
    <w:rsid w:val="00A27E5A"/>
    <w:rsid w:val="00A304EF"/>
    <w:rsid w:val="00A3251F"/>
    <w:rsid w:val="00A35242"/>
    <w:rsid w:val="00A35D4B"/>
    <w:rsid w:val="00A37F99"/>
    <w:rsid w:val="00A402A7"/>
    <w:rsid w:val="00A42E91"/>
    <w:rsid w:val="00A4709D"/>
    <w:rsid w:val="00A50A44"/>
    <w:rsid w:val="00A66685"/>
    <w:rsid w:val="00A726D6"/>
    <w:rsid w:val="00A778D3"/>
    <w:rsid w:val="00A91F30"/>
    <w:rsid w:val="00AA15F6"/>
    <w:rsid w:val="00AA2F31"/>
    <w:rsid w:val="00AA7685"/>
    <w:rsid w:val="00AB6249"/>
    <w:rsid w:val="00AB7E1F"/>
    <w:rsid w:val="00AD1AC8"/>
    <w:rsid w:val="00AE5947"/>
    <w:rsid w:val="00AF3D3F"/>
    <w:rsid w:val="00AF5853"/>
    <w:rsid w:val="00AF5A51"/>
    <w:rsid w:val="00B01ED8"/>
    <w:rsid w:val="00B1278A"/>
    <w:rsid w:val="00B12DAF"/>
    <w:rsid w:val="00B20DC1"/>
    <w:rsid w:val="00B57B92"/>
    <w:rsid w:val="00B65C9C"/>
    <w:rsid w:val="00B85856"/>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BF5FC7"/>
    <w:rsid w:val="00C0071A"/>
    <w:rsid w:val="00C00C38"/>
    <w:rsid w:val="00C0200F"/>
    <w:rsid w:val="00C07EE3"/>
    <w:rsid w:val="00C27BEC"/>
    <w:rsid w:val="00C34245"/>
    <w:rsid w:val="00C45E0B"/>
    <w:rsid w:val="00C54D35"/>
    <w:rsid w:val="00C55F35"/>
    <w:rsid w:val="00C70E2E"/>
    <w:rsid w:val="00C7582A"/>
    <w:rsid w:val="00C8033E"/>
    <w:rsid w:val="00C80F2C"/>
    <w:rsid w:val="00C83DFE"/>
    <w:rsid w:val="00C8698B"/>
    <w:rsid w:val="00C95A56"/>
    <w:rsid w:val="00C9698B"/>
    <w:rsid w:val="00C96CC9"/>
    <w:rsid w:val="00CA3E23"/>
    <w:rsid w:val="00CB1B46"/>
    <w:rsid w:val="00CC4F21"/>
    <w:rsid w:val="00CC52AF"/>
    <w:rsid w:val="00CD18A7"/>
    <w:rsid w:val="00CD211F"/>
    <w:rsid w:val="00CE197A"/>
    <w:rsid w:val="00CE27B4"/>
    <w:rsid w:val="00CE5846"/>
    <w:rsid w:val="00CF0E2D"/>
    <w:rsid w:val="00CF15B2"/>
    <w:rsid w:val="00CF3D4D"/>
    <w:rsid w:val="00CF457A"/>
    <w:rsid w:val="00CF5E87"/>
    <w:rsid w:val="00D019C6"/>
    <w:rsid w:val="00D02BA8"/>
    <w:rsid w:val="00D04842"/>
    <w:rsid w:val="00D54FAD"/>
    <w:rsid w:val="00D666E8"/>
    <w:rsid w:val="00D726FF"/>
    <w:rsid w:val="00D8554F"/>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C6FDF"/>
    <w:rsid w:val="00DD217D"/>
    <w:rsid w:val="00DD44DD"/>
    <w:rsid w:val="00DE091A"/>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2129C"/>
    <w:rsid w:val="00E21CF6"/>
    <w:rsid w:val="00E423DC"/>
    <w:rsid w:val="00E43DA2"/>
    <w:rsid w:val="00E47BCC"/>
    <w:rsid w:val="00E63103"/>
    <w:rsid w:val="00E76D64"/>
    <w:rsid w:val="00E87B94"/>
    <w:rsid w:val="00E923E5"/>
    <w:rsid w:val="00EB498E"/>
    <w:rsid w:val="00EF0754"/>
    <w:rsid w:val="00EF7EAB"/>
    <w:rsid w:val="00F027E5"/>
    <w:rsid w:val="00F11938"/>
    <w:rsid w:val="00F16931"/>
    <w:rsid w:val="00F176F7"/>
    <w:rsid w:val="00F22EDC"/>
    <w:rsid w:val="00F3701A"/>
    <w:rsid w:val="00F3763B"/>
    <w:rsid w:val="00F40106"/>
    <w:rsid w:val="00F4126F"/>
    <w:rsid w:val="00F42432"/>
    <w:rsid w:val="00F44729"/>
    <w:rsid w:val="00F46020"/>
    <w:rsid w:val="00F476DF"/>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D4633"/>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93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E2129C"/>
    <w:pPr>
      <w:numPr>
        <w:ilvl w:val="1"/>
        <w:numId w:val="6"/>
      </w:numPr>
      <w:tabs>
        <w:tab w:val="num" w:pos="990"/>
      </w:tabs>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672D5A"/>
    <w:pPr>
      <w:numPr>
        <w:ilvl w:val="2"/>
        <w:numId w:val="6"/>
      </w:numPr>
      <w:tabs>
        <w:tab w:val="left" w:pos="1260"/>
        <w:tab w:val="num" w:pos="1620"/>
      </w:tabs>
      <w:spacing w:before="60" w:after="60"/>
      <w:ind w:left="1620" w:hanging="630"/>
      <w:outlineLvl w:val="2"/>
    </w:pPr>
    <w:rPr>
      <w:rFonts w:ascii="Arial" w:eastAsia="Times New Roman" w:hAnsi="Arial" w:cs="Arial"/>
    </w:rPr>
  </w:style>
  <w:style w:type="paragraph" w:styleId="Heading4">
    <w:name w:val="heading 4"/>
    <w:basedOn w:val="Normal"/>
    <w:next w:val="Normal"/>
    <w:link w:val="Heading4Char"/>
    <w:qFormat/>
    <w:rsid w:val="00A22396"/>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A22396"/>
    <w:pPr>
      <w:numPr>
        <w:ilvl w:val="4"/>
        <w:numId w:val="6"/>
      </w:numPr>
      <w:tabs>
        <w:tab w:val="left" w:pos="1872"/>
        <w:tab w:val="num" w:pos="3330"/>
      </w:tabs>
      <w:spacing w:before="60" w:after="60"/>
      <w:ind w:left="3330" w:hanging="900"/>
      <w:outlineLvl w:val="4"/>
    </w:pPr>
    <w:rPr>
      <w:rFonts w:ascii="Arial" w:hAnsi="Arial" w:cs="Arial"/>
    </w:rPr>
  </w:style>
  <w:style w:type="paragraph" w:styleId="Heading6">
    <w:name w:val="heading 6"/>
    <w:basedOn w:val="Normal"/>
    <w:next w:val="Normal"/>
    <w:link w:val="Heading6Char"/>
    <w:autoRedefine/>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locked/>
    <w:rsid w:val="00E2129C"/>
    <w:rPr>
      <w:rFonts w:ascii="Arial" w:hAnsi="Arial" w:cs="Arial"/>
      <w:sz w:val="20"/>
      <w:szCs w:val="20"/>
    </w:rPr>
  </w:style>
  <w:style w:type="character" w:customStyle="1" w:styleId="Heading3Char">
    <w:name w:val="Heading 3 Char"/>
    <w:basedOn w:val="DefaultParagraphFont"/>
    <w:link w:val="Heading3"/>
    <w:locked/>
    <w:rsid w:val="00672D5A"/>
    <w:rPr>
      <w:rFonts w:ascii="Arial" w:hAnsi="Arial" w:cs="Arial"/>
      <w:sz w:val="20"/>
      <w:szCs w:val="20"/>
    </w:rPr>
  </w:style>
  <w:style w:type="character" w:customStyle="1" w:styleId="Heading4Char">
    <w:name w:val="Heading 4 Char"/>
    <w:basedOn w:val="DefaultParagraphFont"/>
    <w:link w:val="Heading4"/>
    <w:locked/>
    <w:rsid w:val="00A22396"/>
    <w:rPr>
      <w:rFonts w:ascii="Arial" w:hAnsi="Arial" w:cs="Arial"/>
      <w:sz w:val="20"/>
      <w:szCs w:val="20"/>
    </w:rPr>
  </w:style>
  <w:style w:type="character" w:customStyle="1" w:styleId="Heading5Char">
    <w:name w:val="Heading 5 Char"/>
    <w:basedOn w:val="DefaultParagraphFont"/>
    <w:link w:val="Heading5"/>
    <w:locked/>
    <w:rsid w:val="00A22396"/>
    <w:rPr>
      <w:rFonts w:ascii="Arial" w:eastAsia="MS Mincho" w:hAnsi="Arial" w:cs="Arial"/>
      <w:sz w:val="20"/>
      <w:szCs w:val="20"/>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E2129C"/>
    <w:pPr>
      <w:numPr>
        <w:ilvl w:val="1"/>
        <w:numId w:val="6"/>
      </w:numPr>
      <w:tabs>
        <w:tab w:val="num" w:pos="990"/>
      </w:tabs>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672D5A"/>
    <w:pPr>
      <w:numPr>
        <w:ilvl w:val="2"/>
        <w:numId w:val="6"/>
      </w:numPr>
      <w:tabs>
        <w:tab w:val="left" w:pos="1260"/>
        <w:tab w:val="num" w:pos="1620"/>
      </w:tabs>
      <w:spacing w:before="60" w:after="60"/>
      <w:ind w:left="1620" w:hanging="630"/>
      <w:outlineLvl w:val="2"/>
    </w:pPr>
    <w:rPr>
      <w:rFonts w:ascii="Arial" w:eastAsia="Times New Roman" w:hAnsi="Arial" w:cs="Arial"/>
    </w:rPr>
  </w:style>
  <w:style w:type="paragraph" w:styleId="Heading4">
    <w:name w:val="heading 4"/>
    <w:basedOn w:val="Normal"/>
    <w:next w:val="Normal"/>
    <w:link w:val="Heading4Char"/>
    <w:qFormat/>
    <w:rsid w:val="00A22396"/>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A22396"/>
    <w:pPr>
      <w:numPr>
        <w:ilvl w:val="4"/>
        <w:numId w:val="6"/>
      </w:numPr>
      <w:tabs>
        <w:tab w:val="left" w:pos="1872"/>
        <w:tab w:val="num" w:pos="3330"/>
      </w:tabs>
      <w:spacing w:before="60" w:after="60"/>
      <w:ind w:left="3330" w:hanging="900"/>
      <w:outlineLvl w:val="4"/>
    </w:pPr>
    <w:rPr>
      <w:rFonts w:ascii="Arial" w:hAnsi="Arial" w:cs="Arial"/>
    </w:rPr>
  </w:style>
  <w:style w:type="paragraph" w:styleId="Heading6">
    <w:name w:val="heading 6"/>
    <w:basedOn w:val="Normal"/>
    <w:next w:val="Normal"/>
    <w:link w:val="Heading6Char"/>
    <w:autoRedefine/>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locked/>
    <w:rsid w:val="00E2129C"/>
    <w:rPr>
      <w:rFonts w:ascii="Arial" w:hAnsi="Arial" w:cs="Arial"/>
      <w:sz w:val="20"/>
      <w:szCs w:val="20"/>
    </w:rPr>
  </w:style>
  <w:style w:type="character" w:customStyle="1" w:styleId="Heading3Char">
    <w:name w:val="Heading 3 Char"/>
    <w:basedOn w:val="DefaultParagraphFont"/>
    <w:link w:val="Heading3"/>
    <w:locked/>
    <w:rsid w:val="00672D5A"/>
    <w:rPr>
      <w:rFonts w:ascii="Arial" w:hAnsi="Arial" w:cs="Arial"/>
      <w:sz w:val="20"/>
      <w:szCs w:val="20"/>
    </w:rPr>
  </w:style>
  <w:style w:type="character" w:customStyle="1" w:styleId="Heading4Char">
    <w:name w:val="Heading 4 Char"/>
    <w:basedOn w:val="DefaultParagraphFont"/>
    <w:link w:val="Heading4"/>
    <w:locked/>
    <w:rsid w:val="00A22396"/>
    <w:rPr>
      <w:rFonts w:ascii="Arial" w:hAnsi="Arial" w:cs="Arial"/>
      <w:sz w:val="20"/>
      <w:szCs w:val="20"/>
    </w:rPr>
  </w:style>
  <w:style w:type="character" w:customStyle="1" w:styleId="Heading5Char">
    <w:name w:val="Heading 5 Char"/>
    <w:basedOn w:val="DefaultParagraphFont"/>
    <w:link w:val="Heading5"/>
    <w:locked/>
    <w:rsid w:val="00A22396"/>
    <w:rPr>
      <w:rFonts w:ascii="Arial" w:eastAsia="MS Mincho" w:hAnsi="Arial" w:cs="Arial"/>
      <w:sz w:val="20"/>
      <w:szCs w:val="20"/>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dicalsurveillance@list.t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d_x0023_ xmlns="64162d5b-7865-4a0f-87c1-6c7dc75ec617">03.01H</Std_x0023_>
    <Prgm_x0020_Owner xmlns="64162d5b-7865-4a0f-87c1-6c7dc75ec617">Hayden Baker</Prgm_x0020_Owner>
    <Status xmlns="64162d5b-7865-4a0f-87c1-6c7dc75ec617">Active</Status>
    <Program_Rqrd_x003f_ xmlns="64162d5b-7865-4a0f-87c1-6c7dc75ec617">true</Program_Rqrd_x003f_>
    <ESH_x0020_Standard xmlns="64162d5b-7865-4a0f-87c1-6c7dc75ec617">
      <Url>https://sps16.itg.ti.com/sites/Standards/ACP_DCP/Forms/AllItems.aspx?View=%7bBBC0E8C0-B003-42E5-A888-CF387EF29DCE%7d&amp;FilterClear=1</Url>
      <Description>ACP/DCP</Description>
    </ESH_x0020_Standard>
    <Effective_x0020_Date xmlns="64162d5b-7865-4a0f-87c1-6c7dc75ec617">2013-10-30T05:00:00+00:00</Effective_x0020_Date>
    <Revised_x0020_Date xmlns="64162d5b-7865-4a0f-87c1-6c7dc75ec617">2019-09-25T05:00:00+00:00</Revised_x0020_Date>
    <Standard_x0020_or_x0020_Attachment_x003f_ xmlns="64162d5b-7865-4a0f-87c1-6c7dc75ec617">Standard/Spec</Standard_x0020_or_x0020_Attachment_x003f_>
  </documentManagement>
</p:properties>
</file>

<file path=customXml/itemProps1.xml><?xml version="1.0" encoding="utf-8"?>
<ds:datastoreItem xmlns:ds="http://schemas.openxmlformats.org/officeDocument/2006/customXml" ds:itemID="{2CBFFCDD-DFCB-43B8-B289-4AB0BC322927}"/>
</file>

<file path=customXml/itemProps2.xml><?xml version="1.0" encoding="utf-8"?>
<ds:datastoreItem xmlns:ds="http://schemas.openxmlformats.org/officeDocument/2006/customXml" ds:itemID="{BE04D7D2-51D8-45F0-BF12-BAB9307804DB}"/>
</file>

<file path=customXml/itemProps3.xml><?xml version="1.0" encoding="utf-8"?>
<ds:datastoreItem xmlns:ds="http://schemas.openxmlformats.org/officeDocument/2006/customXml" ds:itemID="{A2C92F22-DFA0-4E63-B86F-C7E59E16A864}"/>
</file>

<file path=docProps/app.xml><?xml version="1.0" encoding="utf-8"?>
<Properties xmlns="http://schemas.openxmlformats.org/officeDocument/2006/extended-properties" xmlns:vt="http://schemas.openxmlformats.org/officeDocument/2006/docPropsVTypes">
  <Template>Normal</Template>
  <TotalTime>15</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Lead Solder Safety</vt:lpstr>
    </vt:vector>
  </TitlesOfParts>
  <Manager>Brenda L. Harrison</Manager>
  <Company>WWF-ESH Services</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Solder Safety</dc:title>
  <dc:subject>01.01 PPE STandard</dc:subject>
  <dc:creator>Christie Lotspeich</dc:creator>
  <cp:keywords/>
  <dc:description/>
  <cp:lastModifiedBy>Baker, Hayden</cp:lastModifiedBy>
  <cp:revision>15</cp:revision>
  <cp:lastPrinted>2011-11-15T16:23:00Z</cp:lastPrinted>
  <dcterms:created xsi:type="dcterms:W3CDTF">2019-08-13T16:47:00Z</dcterms:created>
  <dcterms:modified xsi:type="dcterms:W3CDTF">2019-09-26T19:57:00Z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2013-07-24T05:00:00+00:00</vt:lpwstr>
  </property>
  <property fmtid="{D5CDD505-2E9C-101B-9397-08002B2CF9AE}" pid="15" name="Standard or Attachment?">
    <vt:lpwstr>Standard/Spec</vt:lpwstr>
  </property>
  <property fmtid="{D5CDD505-2E9C-101B-9397-08002B2CF9AE}" pid="16" name="Prgm Owner">
    <vt:lpwstr>Hayden Baker</vt:lpwstr>
  </property>
  <property fmtid="{D5CDD505-2E9C-101B-9397-08002B2CF9AE}" pid="17" name="Program_Rqrd?">
    <vt:lpwstr>true</vt:lpwstr>
  </property>
  <property fmtid="{D5CDD505-2E9C-101B-9397-08002B2CF9AE}" pid="18" name="Std#">
    <vt:lpwstr>03.01H</vt:lpwstr>
  </property>
  <property fmtid="{D5CDD505-2E9C-101B-9397-08002B2CF9AE}" pid="19" name="Knowledge Bank">
    <vt:lpwstr/>
  </property>
  <property fmtid="{D5CDD505-2E9C-101B-9397-08002B2CF9AE}" pid="20" name="Effective Date">
    <vt:lpwstr>2013-10-30T05:00:00+00:00</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ESH Standard">
    <vt:lpwstr/>
  </property>
</Properties>
</file>